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0025F0">
            <w:pPr>
              <w:pStyle w:val="Header"/>
              <w:rPr>
                <w:rFonts w:cs="Arial"/>
                <w:sz w:val="16"/>
                <w:szCs w:val="16"/>
              </w:rPr>
            </w:pPr>
            <w:r w:rsidRPr="00EC47B6">
              <w:rPr>
                <w:rFonts w:cs="Arial"/>
                <w:sz w:val="16"/>
                <w:szCs w:val="16"/>
              </w:rPr>
              <w:t>Reference number(s)</w:t>
            </w:r>
          </w:p>
        </w:tc>
      </w:tr>
      <w:tr w:rsidR="00B953C1"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85F6A31" w:rsidR="00B953C1" w:rsidRPr="005C44AB" w:rsidRDefault="00B953C1" w:rsidP="00B953C1">
            <w:pPr>
              <w:pStyle w:val="Header"/>
              <w:rPr>
                <w:rFonts w:ascii="Arial" w:hAnsi="Arial" w:cs="Arial"/>
                <w:sz w:val="16"/>
                <w:szCs w:val="16"/>
              </w:rPr>
            </w:pPr>
            <w:r w:rsidRPr="005C44AB">
              <w:rPr>
                <w:rFonts w:ascii="Arial" w:hAnsi="Arial" w:cs="Arial"/>
                <w:sz w:val="16"/>
                <w:szCs w:val="16"/>
              </w:rPr>
              <w:t>1970-A, 6049-A</w:t>
            </w:r>
          </w:p>
        </w:tc>
      </w:tr>
    </w:tbl>
    <w:p w14:paraId="74FBA5B4" w14:textId="77777777" w:rsidR="00051356" w:rsidRDefault="00051356" w:rsidP="00A672B3">
      <w:pPr>
        <w:pStyle w:val="BodyText"/>
        <w:rPr>
          <w:b/>
          <w:bCs/>
          <w:sz w:val="16"/>
          <w:szCs w:val="16"/>
        </w:rPr>
        <w:sectPr w:rsidR="00051356" w:rsidSect="006277B0">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99"/>
        </w:sectPr>
      </w:pPr>
    </w:p>
    <w:p w14:paraId="3F4DE49F" w14:textId="74A82B6E" w:rsidR="004B15BB" w:rsidRPr="00BD1CC1" w:rsidRDefault="00B953C1" w:rsidP="00B953C1">
      <w:pPr>
        <w:pStyle w:val="Heading1"/>
      </w:pPr>
      <w:r>
        <w:t>Specialty Guideline Management</w:t>
      </w:r>
      <w:r w:rsidR="008C54D9" w:rsidRPr="00BD1CC1">
        <w:br/>
      </w:r>
      <w:r>
        <w:t>Lupron Depot</w:t>
      </w:r>
      <w:r w:rsidR="006277B0">
        <w:br/>
      </w:r>
      <w:r w:rsidR="007E0BF0">
        <w:t>Endometriosis</w:t>
      </w:r>
      <w:r w:rsidR="00E44621">
        <w:t>-Fibroid</w:t>
      </w:r>
    </w:p>
    <w:p w14:paraId="78861C92" w14:textId="501AD6E7" w:rsidR="00203468" w:rsidRPr="00BD1CC1" w:rsidRDefault="00C64534" w:rsidP="008E0F0D">
      <w:pPr>
        <w:pStyle w:val="Heading2"/>
      </w:pPr>
      <w:r w:rsidRPr="00BD1CC1">
        <w:t xml:space="preserve">Products Referenced by this </w:t>
      </w:r>
      <w:r w:rsidR="00501602" w:rsidRPr="00BD1CC1">
        <w:t>Document</w:t>
      </w:r>
    </w:p>
    <w:p w14:paraId="5455152B" w14:textId="2CDF548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7A760D">
        <w:t>Over-the-counter</w:t>
      </w:r>
      <w:proofErr w:type="gramEnd"/>
      <w:r w:rsidR="007A760D">
        <w:t xml:space="preserve"> (</w:t>
      </w:r>
      <w:r w:rsidRPr="00BD1CC1">
        <w:t>OTC</w:t>
      </w:r>
      <w:r w:rsidR="007A760D">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4F66C58" w14:textId="77777777" w:rsidR="0043058A" w:rsidRDefault="0043058A" w:rsidP="0043058A">
            <w:pPr>
              <w:pStyle w:val="TableDataUnpadded"/>
            </w:pPr>
            <w:r>
              <w:t>Lupron Depot 3.75 mg</w:t>
            </w:r>
          </w:p>
          <w:p w14:paraId="2D8FA8E3" w14:textId="1CA73207" w:rsidR="00585FFF" w:rsidRPr="00BD1CC1" w:rsidRDefault="0043058A" w:rsidP="0043058A">
            <w:pPr>
              <w:pStyle w:val="TableDataUnpadded"/>
            </w:pPr>
            <w:r>
              <w:t>Lupron Depot-3 Month 11.25 mg</w:t>
            </w:r>
          </w:p>
        </w:tc>
        <w:tc>
          <w:tcPr>
            <w:tcW w:w="5595" w:type="dxa"/>
          </w:tcPr>
          <w:p w14:paraId="7E26A004" w14:textId="631FCB2E" w:rsidR="00585FFF" w:rsidRPr="00BD1CC1" w:rsidRDefault="00206DD4" w:rsidP="00E82ABA">
            <w:pPr>
              <w:pStyle w:val="TableDataUnpadded"/>
            </w:pPr>
            <w:r w:rsidRPr="00206DD4">
              <w:t>leuprolide acetate for depot suspension</w:t>
            </w:r>
          </w:p>
        </w:tc>
      </w:tr>
    </w:tbl>
    <w:bookmarkEnd w:id="0"/>
    <w:p w14:paraId="14CE6108" w14:textId="65C0698B" w:rsidR="00FC1AAD" w:rsidRDefault="00ED052F" w:rsidP="00ED052F">
      <w:pPr>
        <w:pStyle w:val="Heading2"/>
      </w:pPr>
      <w:r>
        <w:t>Indications</w:t>
      </w:r>
    </w:p>
    <w:p w14:paraId="3D064ECA" w14:textId="45D7E34C" w:rsidR="00B953C1" w:rsidRPr="00B953C1" w:rsidRDefault="00B953C1" w:rsidP="00B953C1">
      <w:pPr>
        <w:pStyle w:val="BodyText"/>
      </w:pPr>
      <w:r w:rsidRPr="00B953C1">
        <w:t xml:space="preserve">The indications below including FDA-approved indications and compendial uses are considered a covered benefit provided that all the approval criteria are </w:t>
      </w:r>
      <w:proofErr w:type="gramStart"/>
      <w:r w:rsidRPr="00B953C1">
        <w:t>met</w:t>
      </w:r>
      <w:proofErr w:type="gramEnd"/>
      <w:r w:rsidRPr="00B953C1">
        <w:t xml:space="preserve"> and the member has no exclusions to the prescribed therapy.</w:t>
      </w:r>
    </w:p>
    <w:p w14:paraId="134B5687" w14:textId="0FBE2F2D" w:rsidR="00ED052F" w:rsidRDefault="00ED052F" w:rsidP="00ED052F">
      <w:pPr>
        <w:pStyle w:val="Heading3"/>
        <w:keepNext w:val="0"/>
      </w:pPr>
      <w:r w:rsidRPr="00BD1CC1">
        <w:t>FDA-</w:t>
      </w:r>
      <w:r w:rsidR="004B017F">
        <w:t>A</w:t>
      </w:r>
      <w:r w:rsidRPr="00BD1CC1">
        <w:t>pproved Indications</w:t>
      </w:r>
      <w:r w:rsidR="000718AD" w:rsidRPr="006277B0">
        <w:rPr>
          <w:vertAlign w:val="superscript"/>
        </w:rPr>
        <w:t>1,2</w:t>
      </w:r>
    </w:p>
    <w:p w14:paraId="2DDE8076" w14:textId="1DC8CE6F" w:rsidR="00206DD4" w:rsidRDefault="00206DD4" w:rsidP="00206DD4">
      <w:pPr>
        <w:pStyle w:val="Heading4"/>
      </w:pPr>
      <w:r>
        <w:t>Endometriosis</w:t>
      </w:r>
    </w:p>
    <w:p w14:paraId="44154247" w14:textId="5F9234DD" w:rsidR="00206DD4" w:rsidRDefault="00206DD4" w:rsidP="00206DD4">
      <w:pPr>
        <w:pStyle w:val="BodyText"/>
      </w:pPr>
      <w:r>
        <w:t>Lupron Depot 3.75 mg and Lupron Depot-3 Month 11.25 mg are indicated for management of endometriosis, including pain relief and reduction of endometriotic lesions. Lupron Depot 3.75 mg monthly and Lupron Depot-3 Month 11.25 mg with norethindrone acetate 5 mg daily are also indicated for initial management of the painful symptoms of endometriosis and for management of recurrence of symptoms.</w:t>
      </w:r>
    </w:p>
    <w:p w14:paraId="51368F96" w14:textId="279A7C1F" w:rsidR="00206DD4" w:rsidRDefault="00206DD4" w:rsidP="00206DD4">
      <w:pPr>
        <w:pStyle w:val="BodyText"/>
      </w:pPr>
      <w:r>
        <w:t>Use of norethindrone acetate in combination with Lupron Depot 3.75 mg and Lupron Depot 11.25 mg is referred to as add-back therapy, and is intended to reduce the loss of bone mineral density (BMD) and reduce vasomotor symptoms associated with use of Lupron Depot 3.75 mg and Lupron Depot 11.25 mg.</w:t>
      </w:r>
    </w:p>
    <w:p w14:paraId="352F52DF" w14:textId="0C927A7F" w:rsidR="00206DD4" w:rsidRDefault="00206DD4" w:rsidP="00206DD4">
      <w:pPr>
        <w:pStyle w:val="Heading4"/>
      </w:pPr>
      <w:r>
        <w:lastRenderedPageBreak/>
        <w:t>Uterine Leiomyomata (Fibroids)</w:t>
      </w:r>
    </w:p>
    <w:p w14:paraId="5F14142D" w14:textId="5045E3EC" w:rsidR="00206DD4" w:rsidRDefault="00206DD4" w:rsidP="00206DD4">
      <w:pPr>
        <w:pStyle w:val="BodyText"/>
      </w:pPr>
      <w:r>
        <w:t>When used concomitantly with iron therapy, Lupron Depot 3.75 mg and Lupron Depot-3 Month 11.25 mg are indicated for preoperative hematologic improvement of women with anemia caused by fibroids for whom three months of hormonal suppression is deemed necessary. The clinician may wish to consider a one-month trial period on iron alone, as some women will respond to iron alone. Lupron Depot may be added if the response to iron alone is considered inadequate.</w:t>
      </w:r>
    </w:p>
    <w:p w14:paraId="3D3CAA78" w14:textId="2056F78A" w:rsidR="00206DD4" w:rsidRPr="00206DD4" w:rsidRDefault="00206DD4" w:rsidP="00206DD4">
      <w:pPr>
        <w:pStyle w:val="BodyText"/>
      </w:pPr>
      <w:r>
        <w:t>For uterine leiomyomata: Lupron Depot 3.75 mg and 11.25 mg are not indicated for combination use with norethindrone acetate add-back therapy for the preoperative hematologic improvement of women with anemia caused by heavy menstrual bleeding due to fibroids.</w:t>
      </w:r>
    </w:p>
    <w:p w14:paraId="4C434745" w14:textId="77777777" w:rsidR="00ED052F" w:rsidRDefault="00ED052F" w:rsidP="00ED052F">
      <w:pPr>
        <w:pStyle w:val="BodyText"/>
      </w:pPr>
      <w:r w:rsidRPr="00BD1CC1">
        <w:t xml:space="preserve">This section of the document is organized by the drug or drugs covered by </w:t>
      </w:r>
      <w:proofErr w:type="gramStart"/>
      <w:r w:rsidRPr="00BD1CC1">
        <w:t>this criteria</w:t>
      </w:r>
      <w:proofErr w:type="gramEnd"/>
      <w:r w:rsidRPr="00BD1CC1">
        <w:t>. Limitations of use for the drug are also identified here.</w:t>
      </w:r>
    </w:p>
    <w:p w14:paraId="07208EAC" w14:textId="7087952F" w:rsidR="00C50EAF" w:rsidRDefault="00C50EAF" w:rsidP="00C50EAF">
      <w:pPr>
        <w:pStyle w:val="Heading3"/>
      </w:pPr>
      <w:r w:rsidRPr="00C50EAF">
        <w:t>Compendial Uses</w:t>
      </w:r>
    </w:p>
    <w:p w14:paraId="15771F41" w14:textId="463682CF" w:rsidR="00C50EAF" w:rsidRDefault="00C50EAF" w:rsidP="00C50EAF">
      <w:pPr>
        <w:pStyle w:val="ListParagraph"/>
      </w:pPr>
      <w:r>
        <w:t>Breast cancer</w:t>
      </w:r>
      <w:r w:rsidR="008339CA" w:rsidRPr="006277B0">
        <w:rPr>
          <w:vertAlign w:val="superscript"/>
        </w:rPr>
        <w:t>3</w:t>
      </w:r>
    </w:p>
    <w:p w14:paraId="15F6C7B9" w14:textId="2F6E9B59" w:rsidR="00C50EAF" w:rsidRDefault="00C50EAF" w:rsidP="00C50EAF">
      <w:pPr>
        <w:pStyle w:val="ListParagraph"/>
      </w:pPr>
      <w:r>
        <w:t>Ovarian cancer – Epithelial ovarian cancer/fallopian tube cancer/primary peritoneal cancer, and less common ovarian cancers (grade 1 endometrioid carcinoma, low-grade serous carcinoma, carcinosarcoma [malignant mixed Müllerian tumors], mucinous carcinoma of the ovary, or clear cell carcinoma of the ovary)</w:t>
      </w:r>
      <w:r w:rsidR="008339CA" w:rsidRPr="006277B0">
        <w:rPr>
          <w:vertAlign w:val="superscript"/>
        </w:rPr>
        <w:t>3</w:t>
      </w:r>
    </w:p>
    <w:p w14:paraId="3758C625" w14:textId="65D976E3" w:rsidR="00C50EAF" w:rsidRDefault="00C50EAF" w:rsidP="00C50EAF">
      <w:pPr>
        <w:pStyle w:val="ListParagraph"/>
      </w:pPr>
      <w:r>
        <w:t>Recurrent androgen receptor positive salivary gland tumors</w:t>
      </w:r>
      <w:r w:rsidR="008339CA" w:rsidRPr="006277B0">
        <w:rPr>
          <w:vertAlign w:val="superscript"/>
        </w:rPr>
        <w:t>3,1</w:t>
      </w:r>
      <w:r w:rsidR="002062BC">
        <w:rPr>
          <w:vertAlign w:val="superscript"/>
        </w:rPr>
        <w:t>5</w:t>
      </w:r>
    </w:p>
    <w:p w14:paraId="63B64D49" w14:textId="115A6910" w:rsidR="00C50EAF" w:rsidRDefault="00C50EAF" w:rsidP="00C50EAF">
      <w:pPr>
        <w:pStyle w:val="ListParagraph"/>
      </w:pPr>
      <w:r>
        <w:t xml:space="preserve">Gender dysphoria (also known as transgender and gender diverse </w:t>
      </w:r>
      <w:r w:rsidR="002062BC">
        <w:t>[</w:t>
      </w:r>
      <w:r>
        <w:t>TGD</w:t>
      </w:r>
      <w:r w:rsidR="002062BC">
        <w:t>]</w:t>
      </w:r>
      <w:r>
        <w:t xml:space="preserve"> persons)</w:t>
      </w:r>
      <w:r w:rsidR="00B41B46" w:rsidRPr="006277B0">
        <w:rPr>
          <w:vertAlign w:val="superscript"/>
        </w:rPr>
        <w:t>6-8</w:t>
      </w:r>
    </w:p>
    <w:p w14:paraId="63BFCD2C" w14:textId="1441C2A7" w:rsidR="00C50EAF" w:rsidRDefault="00C50EAF" w:rsidP="00C50EAF">
      <w:pPr>
        <w:pStyle w:val="ListParagraph"/>
      </w:pPr>
      <w:r>
        <w:t>Preservation of ovarian function</w:t>
      </w:r>
      <w:r w:rsidR="00B41B46" w:rsidRPr="006277B0">
        <w:rPr>
          <w:vertAlign w:val="superscript"/>
        </w:rPr>
        <w:t>9,10</w:t>
      </w:r>
    </w:p>
    <w:p w14:paraId="321CB6B6" w14:textId="0113A6B3" w:rsidR="00C50EAF" w:rsidRDefault="00C50EAF" w:rsidP="00C50EAF">
      <w:pPr>
        <w:pStyle w:val="ListParagraph"/>
      </w:pPr>
      <w:r>
        <w:t>Prevention of recurrent menstrual related attacks in acute porphyria</w:t>
      </w:r>
      <w:r w:rsidR="003303C4" w:rsidRPr="006277B0">
        <w:rPr>
          <w:vertAlign w:val="superscript"/>
        </w:rPr>
        <w:t>11,12</w:t>
      </w:r>
    </w:p>
    <w:p w14:paraId="0587B248" w14:textId="1073C8CD" w:rsidR="00581D44" w:rsidRPr="00C50EAF" w:rsidRDefault="00581D44" w:rsidP="00581D44">
      <w:pPr>
        <w:pStyle w:val="BodyText"/>
      </w:pPr>
      <w:r w:rsidRPr="00581D44">
        <w:t>All other indications are considered experimental/investigational and not medically necessary.</w:t>
      </w:r>
    </w:p>
    <w:p w14:paraId="4A5B15F8" w14:textId="5F36316D" w:rsidR="00006174" w:rsidRPr="00AA1E6A" w:rsidRDefault="00006174" w:rsidP="00006174">
      <w:pPr>
        <w:pStyle w:val="Heading2"/>
      </w:pPr>
      <w:r w:rsidRPr="00BD1CC1">
        <w:t>Prescriber Specialties</w:t>
      </w:r>
      <w:r w:rsidR="00E41627" w:rsidRPr="006277B0">
        <w:rPr>
          <w:vertAlign w:val="superscript"/>
        </w:rPr>
        <w:t>11,12</w:t>
      </w:r>
      <w:r w:rsidR="00EB1852">
        <w:rPr>
          <w:vertAlign w:val="superscript"/>
        </w:rPr>
        <w:t>-14</w:t>
      </w:r>
    </w:p>
    <w:p w14:paraId="3339DD5A" w14:textId="05F47094" w:rsidR="00006174" w:rsidRPr="00BD1CC1" w:rsidRDefault="00C50EAF" w:rsidP="00C50EAF">
      <w:pPr>
        <w:pStyle w:val="Heading3"/>
      </w:pPr>
      <w:r w:rsidRPr="00C50EAF">
        <w:t>Gender dysphoria</w:t>
      </w:r>
    </w:p>
    <w:p w14:paraId="45F1247A" w14:textId="77777777" w:rsidR="00C50EAF" w:rsidRPr="00C50EAF" w:rsidRDefault="00C50EAF" w:rsidP="00C50EAF">
      <w:pPr>
        <w:pStyle w:val="BodyText"/>
      </w:pPr>
      <w:r w:rsidRPr="00C50EAF">
        <w:t>The medication must be prescribed by or in consultation with a provider specialized in the care of transgender youth (e.g., pediatric endocrinologist, family or internal medicine physician, obstetrician-gynecologist) that has collaborated care with a mental health provider for members less than 18 years of age.</w:t>
      </w:r>
    </w:p>
    <w:p w14:paraId="5FF90FDA" w14:textId="77777777" w:rsidR="00C50EAF" w:rsidRPr="00C50EAF" w:rsidRDefault="00C50EAF" w:rsidP="00C50EAF">
      <w:pPr>
        <w:pStyle w:val="Heading3"/>
      </w:pPr>
      <w:r w:rsidRPr="00C50EAF">
        <w:t>Prevention of recurrent menstrual related attacks in acute porphyria</w:t>
      </w:r>
    </w:p>
    <w:p w14:paraId="70E21122" w14:textId="20442F35" w:rsidR="00C50EAF" w:rsidRPr="00C50EAF" w:rsidRDefault="00C50EAF" w:rsidP="00C50EAF">
      <w:pPr>
        <w:pStyle w:val="BodyText"/>
      </w:pPr>
      <w:r w:rsidRPr="00C50EAF">
        <w:t xml:space="preserve">The medication must be prescribed by or in consultation with a provider experienced in the management of </w:t>
      </w:r>
      <w:proofErr w:type="spellStart"/>
      <w:r w:rsidRPr="00C50EAF">
        <w:t>porphyrias</w:t>
      </w:r>
      <w:proofErr w:type="spellEnd"/>
      <w:r w:rsidRPr="00C50EAF">
        <w:t>.</w:t>
      </w:r>
    </w:p>
    <w:p w14:paraId="66391680" w14:textId="77777777" w:rsidR="0097206A" w:rsidRDefault="00685107" w:rsidP="0097206A">
      <w:pPr>
        <w:pStyle w:val="Heading2"/>
      </w:pPr>
      <w:r>
        <w:lastRenderedPageBreak/>
        <w:t>Coverage Criteria</w:t>
      </w:r>
    </w:p>
    <w:p w14:paraId="2E9355EE" w14:textId="2A46D566" w:rsidR="00775A4F" w:rsidRPr="0097206A" w:rsidRDefault="00775A4F" w:rsidP="0097206A">
      <w:pPr>
        <w:pStyle w:val="Heading3"/>
        <w:rPr>
          <w:color w:val="C00000"/>
        </w:rPr>
      </w:pPr>
      <w:r w:rsidRPr="00775A4F">
        <w:t>Endometriosis</w:t>
      </w:r>
      <w:r w:rsidR="003C6D8D" w:rsidRPr="006277B0">
        <w:rPr>
          <w:vertAlign w:val="superscript"/>
        </w:rPr>
        <w:t>1,2</w:t>
      </w:r>
    </w:p>
    <w:p w14:paraId="65545E1B" w14:textId="77777777" w:rsidR="00775A4F" w:rsidRPr="00775A4F" w:rsidRDefault="00775A4F" w:rsidP="00775A4F">
      <w:pPr>
        <w:pStyle w:val="BodyText"/>
      </w:pPr>
      <w:r w:rsidRPr="00775A4F">
        <w:t>Authorization of up to 6 months (one treatment course) may be granted to members for initial treatment of endometriosis.</w:t>
      </w:r>
    </w:p>
    <w:p w14:paraId="6EED39D3" w14:textId="2D6A6975" w:rsidR="00775A4F" w:rsidRPr="00775A4F" w:rsidRDefault="00775A4F" w:rsidP="00775A4F">
      <w:pPr>
        <w:pStyle w:val="Heading3"/>
      </w:pPr>
      <w:r w:rsidRPr="00775A4F">
        <w:t>Uterine leiomyomata (fibroids)</w:t>
      </w:r>
      <w:r w:rsidR="003C6D8D" w:rsidRPr="006277B0">
        <w:rPr>
          <w:vertAlign w:val="superscript"/>
        </w:rPr>
        <w:t>1,2,4,5</w:t>
      </w:r>
    </w:p>
    <w:p w14:paraId="1DD04AB7" w14:textId="77777777" w:rsidR="00775A4F" w:rsidRPr="00775A4F" w:rsidRDefault="00775A4F" w:rsidP="00775A4F">
      <w:pPr>
        <w:pStyle w:val="BodyText"/>
      </w:pPr>
      <w:r w:rsidRPr="00775A4F">
        <w:t>Authorization of up to 3 months may be granted for initial treatment of uterine leiomyomata (fibroids) when either of the following criteria is met:</w:t>
      </w:r>
    </w:p>
    <w:p w14:paraId="5ACF1A15" w14:textId="30CF76D6" w:rsidR="00775A4F" w:rsidRPr="00775A4F" w:rsidRDefault="00775A4F" w:rsidP="00775A4F">
      <w:pPr>
        <w:pStyle w:val="ListParagraph"/>
      </w:pPr>
      <w:r w:rsidRPr="00775A4F">
        <w:t>Member has anemia due to uterine leiomyomata</w:t>
      </w:r>
      <w:r w:rsidR="00CA667B">
        <w:t>.</w:t>
      </w:r>
    </w:p>
    <w:p w14:paraId="0E5955F6" w14:textId="77777777" w:rsidR="00775A4F" w:rsidRDefault="00775A4F" w:rsidP="003C09B5">
      <w:pPr>
        <w:pStyle w:val="ListParagraph"/>
      </w:pPr>
      <w:r w:rsidRPr="00775A4F">
        <w:t>Lupron Depot will be used prior to surgery for uterine leiomyomata.</w:t>
      </w:r>
    </w:p>
    <w:p w14:paraId="14AB8EAE" w14:textId="18684F5C" w:rsidR="00775A4F" w:rsidRPr="00775A4F" w:rsidRDefault="00775A4F" w:rsidP="00775A4F">
      <w:pPr>
        <w:pStyle w:val="Heading3"/>
      </w:pPr>
      <w:r w:rsidRPr="00775A4F">
        <w:t>Breast cancer</w:t>
      </w:r>
      <w:r w:rsidR="0071624D" w:rsidRPr="006277B0">
        <w:rPr>
          <w:vertAlign w:val="superscript"/>
        </w:rPr>
        <w:t>3</w:t>
      </w:r>
    </w:p>
    <w:p w14:paraId="0E96D8B3" w14:textId="651714FB" w:rsidR="00775A4F" w:rsidRPr="00775A4F" w:rsidRDefault="00775A4F" w:rsidP="00775A4F">
      <w:pPr>
        <w:pStyle w:val="BodyText"/>
      </w:pPr>
      <w:r w:rsidRPr="00775A4F">
        <w:t>Authorization of 12 months may be granted for treatment of hormone receptor-positive breast cancer.</w:t>
      </w:r>
    </w:p>
    <w:p w14:paraId="4C03FAE8" w14:textId="486B25F8" w:rsidR="00775A4F" w:rsidRPr="00775A4F" w:rsidRDefault="00775A4F" w:rsidP="00775A4F">
      <w:pPr>
        <w:pStyle w:val="Heading3"/>
      </w:pPr>
      <w:r w:rsidRPr="00775A4F">
        <w:t>Ovarian cancer</w:t>
      </w:r>
      <w:r w:rsidR="0071624D" w:rsidRPr="006277B0">
        <w:rPr>
          <w:vertAlign w:val="superscript"/>
        </w:rPr>
        <w:t>3</w:t>
      </w:r>
    </w:p>
    <w:p w14:paraId="4FBD72BE" w14:textId="77777777" w:rsidR="00775A4F" w:rsidRPr="00775A4F" w:rsidRDefault="00775A4F" w:rsidP="00775A4F">
      <w:pPr>
        <w:pStyle w:val="BodyText"/>
      </w:pPr>
      <w:r w:rsidRPr="00775A4F">
        <w:t>Authorization of 12 months may be granted for treatment of persistent disease or recurrence of any of the following types of ovarian cancer when used as a single agent:</w:t>
      </w:r>
    </w:p>
    <w:p w14:paraId="31E7C269" w14:textId="77777777" w:rsidR="00775A4F" w:rsidRPr="00775A4F" w:rsidRDefault="00775A4F" w:rsidP="00775A4F">
      <w:pPr>
        <w:pStyle w:val="ListParagraph"/>
      </w:pPr>
      <w:r w:rsidRPr="00775A4F">
        <w:t>Epithelial ovarian cancer</w:t>
      </w:r>
    </w:p>
    <w:p w14:paraId="2319F264" w14:textId="77777777" w:rsidR="00775A4F" w:rsidRPr="00775A4F" w:rsidRDefault="00775A4F" w:rsidP="00775A4F">
      <w:pPr>
        <w:pStyle w:val="ListParagraph"/>
      </w:pPr>
      <w:r w:rsidRPr="00775A4F">
        <w:t>Fallopian tube cancer</w:t>
      </w:r>
    </w:p>
    <w:p w14:paraId="35749B4E" w14:textId="77777777" w:rsidR="00775A4F" w:rsidRPr="00775A4F" w:rsidRDefault="00775A4F" w:rsidP="00775A4F">
      <w:pPr>
        <w:pStyle w:val="ListParagraph"/>
      </w:pPr>
      <w:r w:rsidRPr="00775A4F">
        <w:t>Primary peritoneal cancer</w:t>
      </w:r>
    </w:p>
    <w:p w14:paraId="5576C2EC" w14:textId="77777777" w:rsidR="00775A4F" w:rsidRPr="00775A4F" w:rsidRDefault="00775A4F" w:rsidP="00775A4F">
      <w:pPr>
        <w:pStyle w:val="ListParagraph"/>
      </w:pPr>
      <w:r w:rsidRPr="00775A4F">
        <w:t>Grade 1 endometrioid carcinoma</w:t>
      </w:r>
    </w:p>
    <w:p w14:paraId="4820AB6E" w14:textId="77777777" w:rsidR="00775A4F" w:rsidRPr="00775A4F" w:rsidRDefault="00775A4F" w:rsidP="00775A4F">
      <w:pPr>
        <w:pStyle w:val="ListParagraph"/>
      </w:pPr>
      <w:r w:rsidRPr="00775A4F">
        <w:t>Low-grade serous carcinoma</w:t>
      </w:r>
    </w:p>
    <w:p w14:paraId="285D70AE" w14:textId="77777777" w:rsidR="00775A4F" w:rsidRPr="00775A4F" w:rsidRDefault="00775A4F" w:rsidP="00775A4F">
      <w:pPr>
        <w:pStyle w:val="ListParagraph"/>
      </w:pPr>
      <w:r w:rsidRPr="00775A4F">
        <w:t>Carcinosarcoma (malignant mixed Müllerian tumors)</w:t>
      </w:r>
    </w:p>
    <w:p w14:paraId="23B89542" w14:textId="77777777" w:rsidR="00775A4F" w:rsidRPr="00775A4F" w:rsidRDefault="00775A4F" w:rsidP="00775A4F">
      <w:pPr>
        <w:pStyle w:val="ListParagraph"/>
      </w:pPr>
      <w:r w:rsidRPr="00775A4F">
        <w:t>Mucinous carcinoma of the ovary</w:t>
      </w:r>
    </w:p>
    <w:p w14:paraId="4ED27074" w14:textId="15445603" w:rsidR="00775A4F" w:rsidRPr="00775A4F" w:rsidRDefault="00775A4F" w:rsidP="00775A4F">
      <w:pPr>
        <w:pStyle w:val="ListParagraph"/>
      </w:pPr>
      <w:r w:rsidRPr="00775A4F">
        <w:t>Clear cell carcinoma of the ovary</w:t>
      </w:r>
    </w:p>
    <w:p w14:paraId="7A30DFD7" w14:textId="392179DD" w:rsidR="00775A4F" w:rsidRPr="00775A4F" w:rsidRDefault="00775A4F" w:rsidP="00775A4F">
      <w:pPr>
        <w:pStyle w:val="Heading3"/>
      </w:pPr>
      <w:r w:rsidRPr="00775A4F">
        <w:t>Salivary gland tumors</w:t>
      </w:r>
      <w:r w:rsidR="00AC2242" w:rsidRPr="006277B0">
        <w:rPr>
          <w:vertAlign w:val="superscript"/>
        </w:rPr>
        <w:t>3,1</w:t>
      </w:r>
      <w:r w:rsidR="00EE23F8">
        <w:rPr>
          <w:vertAlign w:val="superscript"/>
        </w:rPr>
        <w:t>5</w:t>
      </w:r>
    </w:p>
    <w:p w14:paraId="132C21AA" w14:textId="494F51FD" w:rsidR="00775A4F" w:rsidRPr="00775A4F" w:rsidRDefault="00775A4F" w:rsidP="00775A4F">
      <w:pPr>
        <w:pStyle w:val="BodyText"/>
      </w:pPr>
      <w:r>
        <w:t>Authorization of 12 months may be granted for treatment of recurrent</w:t>
      </w:r>
      <w:r w:rsidR="00957080">
        <w:t>, un</w:t>
      </w:r>
      <w:r w:rsidR="1B0C3EC1">
        <w:t>re</w:t>
      </w:r>
      <w:r w:rsidR="00957080">
        <w:t>sectable, or metastatic</w:t>
      </w:r>
      <w:r>
        <w:t xml:space="preserve"> salivary gland tumors </w:t>
      </w:r>
      <w:r w:rsidR="008B4FDF">
        <w:t xml:space="preserve">as a single agent or in combination with abiraterone and prednisone </w:t>
      </w:r>
      <w:r>
        <w:t>when the tumor is androgen receptor positive.</w:t>
      </w:r>
    </w:p>
    <w:p w14:paraId="1F142EA8" w14:textId="2BA8C4BF" w:rsidR="00775A4F" w:rsidRPr="00775A4F" w:rsidRDefault="00775A4F" w:rsidP="00775A4F">
      <w:pPr>
        <w:pStyle w:val="Heading3"/>
      </w:pPr>
      <w:r w:rsidRPr="00775A4F">
        <w:t>Gender dysphoria</w:t>
      </w:r>
      <w:r w:rsidR="00AC2242" w:rsidRPr="006277B0">
        <w:rPr>
          <w:vertAlign w:val="superscript"/>
        </w:rPr>
        <w:t>6-8,13</w:t>
      </w:r>
    </w:p>
    <w:p w14:paraId="644EA9D6" w14:textId="77777777" w:rsidR="00775A4F" w:rsidRPr="00775A4F" w:rsidRDefault="00775A4F" w:rsidP="00775A4F">
      <w:pPr>
        <w:pStyle w:val="BodyText"/>
      </w:pPr>
      <w:r w:rsidRPr="00775A4F">
        <w:t xml:space="preserve">Authorization of 12 months may be granted for pubertal hormonal suppression in an adolescent member when </w:t>
      </w:r>
      <w:proofErr w:type="gramStart"/>
      <w:r w:rsidRPr="00775A4F">
        <w:t>all of</w:t>
      </w:r>
      <w:proofErr w:type="gramEnd"/>
      <w:r w:rsidRPr="00775A4F">
        <w:t xml:space="preserve"> the following criteria are met:</w:t>
      </w:r>
    </w:p>
    <w:p w14:paraId="38D66988" w14:textId="77777777" w:rsidR="00775A4F" w:rsidRPr="00775A4F" w:rsidRDefault="00775A4F" w:rsidP="00775A4F">
      <w:pPr>
        <w:pStyle w:val="ListParagraph"/>
      </w:pPr>
      <w:r w:rsidRPr="00775A4F">
        <w:t>The member has a diagnosis of gender dysphoria.</w:t>
      </w:r>
    </w:p>
    <w:p w14:paraId="149B6ABD" w14:textId="77777777" w:rsidR="00775A4F" w:rsidRPr="00775A4F" w:rsidRDefault="00775A4F" w:rsidP="00775A4F">
      <w:pPr>
        <w:pStyle w:val="ListParagraph"/>
      </w:pPr>
      <w:r w:rsidRPr="00775A4F">
        <w:t xml:space="preserve">The member </w:t>
      </w:r>
      <w:proofErr w:type="gramStart"/>
      <w:r w:rsidRPr="00775A4F">
        <w:t>is able to</w:t>
      </w:r>
      <w:proofErr w:type="gramEnd"/>
      <w:r w:rsidRPr="00775A4F">
        <w:t xml:space="preserve"> make an informed decision to engage in treatment.</w:t>
      </w:r>
    </w:p>
    <w:p w14:paraId="295A9074" w14:textId="77777777" w:rsidR="00775A4F" w:rsidRPr="00775A4F" w:rsidRDefault="00775A4F" w:rsidP="00775A4F">
      <w:pPr>
        <w:pStyle w:val="ListParagraph"/>
      </w:pPr>
      <w:r w:rsidRPr="00775A4F">
        <w:lastRenderedPageBreak/>
        <w:t>The member has reached Tanner stage 2 of puberty or greater.</w:t>
      </w:r>
    </w:p>
    <w:p w14:paraId="12648A09" w14:textId="77777777" w:rsidR="00775A4F" w:rsidRPr="00775A4F" w:rsidRDefault="00775A4F" w:rsidP="00775A4F">
      <w:pPr>
        <w:pStyle w:val="ListParagraph"/>
      </w:pPr>
      <w:r w:rsidRPr="00775A4F">
        <w:t>The member’s comorbid conditions are reasonably controlled.</w:t>
      </w:r>
    </w:p>
    <w:p w14:paraId="36103138" w14:textId="77777777" w:rsidR="00775A4F" w:rsidRPr="00775A4F" w:rsidRDefault="00775A4F" w:rsidP="00775A4F">
      <w:pPr>
        <w:pStyle w:val="ListParagraph"/>
      </w:pPr>
      <w:r w:rsidRPr="00775A4F">
        <w:t>The member has been educated on any contraindications and side effects to therapy.</w:t>
      </w:r>
    </w:p>
    <w:p w14:paraId="520EE554" w14:textId="4E933733" w:rsidR="00775A4F" w:rsidRPr="00775A4F" w:rsidRDefault="00775A4F" w:rsidP="004D4D70">
      <w:pPr>
        <w:pStyle w:val="ListParagraph"/>
      </w:pPr>
      <w:r w:rsidRPr="00775A4F">
        <w:t>The member has been informed of fertility preservation options.</w:t>
      </w:r>
    </w:p>
    <w:p w14:paraId="0DA0EA3C" w14:textId="77777777" w:rsidR="00775A4F" w:rsidRPr="00775A4F" w:rsidRDefault="00775A4F" w:rsidP="00775A4F">
      <w:pPr>
        <w:pStyle w:val="BodyText"/>
      </w:pPr>
      <w:r w:rsidRPr="00775A4F">
        <w:t xml:space="preserve">Authorization of 12 months may be granted for gender transition when </w:t>
      </w:r>
      <w:proofErr w:type="gramStart"/>
      <w:r w:rsidRPr="00775A4F">
        <w:t>all of</w:t>
      </w:r>
      <w:proofErr w:type="gramEnd"/>
      <w:r w:rsidRPr="00775A4F">
        <w:t xml:space="preserve"> the following criteria are met:</w:t>
      </w:r>
    </w:p>
    <w:p w14:paraId="7146B405" w14:textId="77777777" w:rsidR="00775A4F" w:rsidRPr="00775A4F" w:rsidRDefault="00775A4F" w:rsidP="00775A4F">
      <w:pPr>
        <w:pStyle w:val="ListParagraph"/>
      </w:pPr>
      <w:r w:rsidRPr="00775A4F">
        <w:t>The member has a diagnosis of gender dysphoria.</w:t>
      </w:r>
    </w:p>
    <w:p w14:paraId="407514CF" w14:textId="77777777" w:rsidR="00775A4F" w:rsidRPr="00775A4F" w:rsidRDefault="00775A4F" w:rsidP="00775A4F">
      <w:pPr>
        <w:pStyle w:val="ListParagraph"/>
      </w:pPr>
      <w:r w:rsidRPr="00775A4F">
        <w:t xml:space="preserve">The member </w:t>
      </w:r>
      <w:proofErr w:type="gramStart"/>
      <w:r w:rsidRPr="00775A4F">
        <w:t>is able to</w:t>
      </w:r>
      <w:proofErr w:type="gramEnd"/>
      <w:r w:rsidRPr="00775A4F">
        <w:t xml:space="preserve"> make an informed decision to engage in treatment.</w:t>
      </w:r>
    </w:p>
    <w:p w14:paraId="66AC1FBD" w14:textId="77777777" w:rsidR="00775A4F" w:rsidRPr="00775A4F" w:rsidRDefault="00775A4F" w:rsidP="00775A4F">
      <w:pPr>
        <w:pStyle w:val="ListParagraph"/>
      </w:pPr>
      <w:r w:rsidRPr="00775A4F">
        <w:t>The member will receive the requested medication concomitantly with gender-affirming hormones.</w:t>
      </w:r>
    </w:p>
    <w:p w14:paraId="744A8DFE" w14:textId="77777777" w:rsidR="00775A4F" w:rsidRPr="00775A4F" w:rsidRDefault="00775A4F" w:rsidP="00775A4F">
      <w:pPr>
        <w:pStyle w:val="ListParagraph"/>
      </w:pPr>
      <w:r w:rsidRPr="00775A4F">
        <w:t>The member’s comorbid conditions are reasonably controlled.</w:t>
      </w:r>
    </w:p>
    <w:p w14:paraId="6B363E89" w14:textId="77777777" w:rsidR="00775A4F" w:rsidRPr="00775A4F" w:rsidRDefault="00775A4F" w:rsidP="00775A4F">
      <w:pPr>
        <w:pStyle w:val="ListParagraph"/>
      </w:pPr>
      <w:r w:rsidRPr="00775A4F">
        <w:t>The member has been educated on any contraindications and side effects to therapy.</w:t>
      </w:r>
    </w:p>
    <w:p w14:paraId="6793CB92" w14:textId="7FF2DBE9" w:rsidR="00775A4F" w:rsidRPr="00775A4F" w:rsidRDefault="00775A4F" w:rsidP="00775A4F">
      <w:pPr>
        <w:pStyle w:val="ListParagraph"/>
      </w:pPr>
      <w:r w:rsidRPr="00775A4F">
        <w:t>The member has been informed of fertility preservation options.</w:t>
      </w:r>
    </w:p>
    <w:p w14:paraId="2BF58724" w14:textId="51931106" w:rsidR="00775A4F" w:rsidRPr="00775A4F" w:rsidRDefault="00775A4F" w:rsidP="00775A4F">
      <w:pPr>
        <w:pStyle w:val="Heading3"/>
      </w:pPr>
      <w:r w:rsidRPr="00775A4F">
        <w:t>Preservation of ovarian function</w:t>
      </w:r>
      <w:r w:rsidR="00AC2242" w:rsidRPr="006277B0">
        <w:rPr>
          <w:vertAlign w:val="superscript"/>
        </w:rPr>
        <w:t>9,10</w:t>
      </w:r>
    </w:p>
    <w:p w14:paraId="271A922F" w14:textId="5DFC64EF" w:rsidR="00775A4F" w:rsidRPr="00775A4F" w:rsidRDefault="00775A4F" w:rsidP="00775A4F">
      <w:pPr>
        <w:pStyle w:val="BodyText"/>
      </w:pPr>
      <w:r w:rsidRPr="00775A4F">
        <w:t>Authorization of 3 months may be granted for preservation of ovarian function when the member is premenopausal and undergoing chemotherapy.</w:t>
      </w:r>
    </w:p>
    <w:p w14:paraId="4166D8E2" w14:textId="7D60C2F2" w:rsidR="00775A4F" w:rsidRPr="00775A4F" w:rsidRDefault="00775A4F" w:rsidP="00775A4F">
      <w:pPr>
        <w:pStyle w:val="Heading3"/>
      </w:pPr>
      <w:r w:rsidRPr="00775A4F">
        <w:t>Prevention of recurrent menstrual related attacks in acute porphyria</w:t>
      </w:r>
      <w:r w:rsidR="008E10FA" w:rsidRPr="006277B0">
        <w:rPr>
          <w:vertAlign w:val="superscript"/>
        </w:rPr>
        <w:t>11,12</w:t>
      </w:r>
    </w:p>
    <w:p w14:paraId="219B3EB4" w14:textId="77777777" w:rsidR="00775A4F" w:rsidRPr="00775A4F" w:rsidRDefault="00775A4F" w:rsidP="00775A4F">
      <w:pPr>
        <w:pStyle w:val="BodyText"/>
      </w:pPr>
      <w:r w:rsidRPr="00775A4F">
        <w:t>Authorization of 12 months may be granted for prevention of recurrent menstrual related attacks in members with acute porphyria.</w:t>
      </w:r>
    </w:p>
    <w:p w14:paraId="3A643EC3" w14:textId="5DE6A84A" w:rsidR="00A501AC" w:rsidRPr="00BD1CC1" w:rsidRDefault="00A501AC" w:rsidP="00A501AC">
      <w:pPr>
        <w:pStyle w:val="Heading2"/>
      </w:pPr>
      <w:r>
        <w:t>Continuation of Therapy</w:t>
      </w:r>
    </w:p>
    <w:p w14:paraId="53570B3D" w14:textId="23B4226B" w:rsidR="00A501AC" w:rsidRPr="00BD1CC1" w:rsidRDefault="006A7D06" w:rsidP="00A501AC">
      <w:pPr>
        <w:pStyle w:val="Heading3"/>
      </w:pPr>
      <w:r w:rsidRPr="006A7D06">
        <w:t>Endometriosis</w:t>
      </w:r>
      <w:r w:rsidR="008E10FA" w:rsidRPr="006277B0">
        <w:rPr>
          <w:vertAlign w:val="superscript"/>
        </w:rPr>
        <w:t>1,2</w:t>
      </w:r>
    </w:p>
    <w:p w14:paraId="4D56F9A0" w14:textId="15702FF2" w:rsidR="00A501AC" w:rsidRDefault="006A7D06" w:rsidP="00A501AC">
      <w:pPr>
        <w:pStyle w:val="BodyText"/>
      </w:pPr>
      <w:r>
        <w:t xml:space="preserve">Authorization of up to 6 months (for a lifetime maximum of 12 months total) may be granted for retreatment of endometriosis when </w:t>
      </w:r>
      <w:r w:rsidR="59FEB48C">
        <w:t>both</w:t>
      </w:r>
      <w:r>
        <w:t xml:space="preserve"> of the following criteria are met:</w:t>
      </w:r>
    </w:p>
    <w:p w14:paraId="508A3EA9" w14:textId="6E92305F" w:rsidR="006A7D06" w:rsidRDefault="006A7D06" w:rsidP="006A7D06">
      <w:pPr>
        <w:pStyle w:val="ListParagraph"/>
      </w:pPr>
      <w:r>
        <w:t>The member has had a recurrence of symptoms.</w:t>
      </w:r>
    </w:p>
    <w:p w14:paraId="0098DCAC" w14:textId="6E879504" w:rsidR="006A7D06" w:rsidRPr="00BD1CC1" w:rsidRDefault="006A7D06" w:rsidP="006A7D06">
      <w:pPr>
        <w:pStyle w:val="ListParagraph"/>
      </w:pPr>
      <w:r>
        <w:t>The member has a bone mineral density within normal limits.</w:t>
      </w:r>
    </w:p>
    <w:p w14:paraId="1CB3607E" w14:textId="60FAB32A" w:rsidR="00A501AC" w:rsidRPr="00BD1CC1" w:rsidRDefault="006A7D06" w:rsidP="00A501AC">
      <w:pPr>
        <w:pStyle w:val="Heading3"/>
      </w:pPr>
      <w:r w:rsidRPr="006A7D06">
        <w:t>Uterine leiomyomata (fibroids)</w:t>
      </w:r>
      <w:r w:rsidR="00772AB1" w:rsidRPr="006277B0">
        <w:rPr>
          <w:vertAlign w:val="superscript"/>
        </w:rPr>
        <w:t>1,2,4,5</w:t>
      </w:r>
    </w:p>
    <w:p w14:paraId="288994CC" w14:textId="56F055AB" w:rsidR="00A501AC" w:rsidRDefault="006A7D06" w:rsidP="00A501AC">
      <w:pPr>
        <w:pStyle w:val="BodyText"/>
      </w:pPr>
      <w:r w:rsidRPr="006A7D06">
        <w:t>Authorization of up to 3 months (for a lifetime maximum of 6 months total) may be granted when either of the following criteria is met:</w:t>
      </w:r>
    </w:p>
    <w:p w14:paraId="47D40B01" w14:textId="5099240F" w:rsidR="006A7D06" w:rsidRDefault="006A7D06" w:rsidP="006A7D06">
      <w:pPr>
        <w:pStyle w:val="ListParagraph"/>
      </w:pPr>
      <w:r>
        <w:t>Member has anemia due to uterine leiomyomata,</w:t>
      </w:r>
    </w:p>
    <w:p w14:paraId="0AABA9EC" w14:textId="273279F2" w:rsidR="006A7D06" w:rsidRPr="00BD1CC1" w:rsidRDefault="006A7D06" w:rsidP="006A7D06">
      <w:pPr>
        <w:pStyle w:val="ListParagraph"/>
      </w:pPr>
      <w:r>
        <w:t>Lupron Depot will be used prior to surgery for uterine leiomyomata.</w:t>
      </w:r>
    </w:p>
    <w:p w14:paraId="411E137A" w14:textId="7B6E279E" w:rsidR="00A501AC" w:rsidRPr="00BD1CC1" w:rsidRDefault="006A7D06" w:rsidP="00A501AC">
      <w:pPr>
        <w:pStyle w:val="Heading3"/>
      </w:pPr>
      <w:r w:rsidRPr="006A7D06">
        <w:lastRenderedPageBreak/>
        <w:t>Breast cancer, ovarian cancer, and salivary gland tumors</w:t>
      </w:r>
      <w:r w:rsidR="004344F0" w:rsidRPr="006277B0">
        <w:rPr>
          <w:vertAlign w:val="superscript"/>
        </w:rPr>
        <w:t>3</w:t>
      </w:r>
    </w:p>
    <w:p w14:paraId="2271F491" w14:textId="72A45DED" w:rsidR="001C7C50" w:rsidRDefault="006A7D06" w:rsidP="001C7C50">
      <w:pPr>
        <w:pStyle w:val="BodyText"/>
      </w:pPr>
      <w:r w:rsidRPr="006A7D06">
        <w:t>Authorization of 12 months may be granted for continued treatment of breast cancer, ovarian cancer, and salivary gland tumors in members requesting reauthorization when there is no evidence of unacceptable toxicity or disease progression while on the current regimen</w:t>
      </w:r>
      <w:r w:rsidR="00A67075">
        <w:t>.</w:t>
      </w:r>
    </w:p>
    <w:p w14:paraId="373CAE86" w14:textId="26DAA6E0" w:rsidR="009C3AE9" w:rsidRPr="009C3AE9" w:rsidRDefault="009C3AE9" w:rsidP="001C7C50">
      <w:pPr>
        <w:pStyle w:val="Heading3"/>
      </w:pPr>
      <w:r w:rsidRPr="009C3AE9">
        <w:t>Gender dysphoria</w:t>
      </w:r>
      <w:r w:rsidR="004344F0" w:rsidRPr="006277B0">
        <w:rPr>
          <w:vertAlign w:val="superscript"/>
        </w:rPr>
        <w:t>1</w:t>
      </w:r>
      <w:r w:rsidR="00B70562">
        <w:rPr>
          <w:vertAlign w:val="superscript"/>
        </w:rPr>
        <w:t>3</w:t>
      </w:r>
      <w:r w:rsidR="004344F0" w:rsidRPr="006277B0">
        <w:rPr>
          <w:vertAlign w:val="superscript"/>
        </w:rPr>
        <w:t>,1</w:t>
      </w:r>
      <w:r w:rsidR="00B70562">
        <w:rPr>
          <w:vertAlign w:val="superscript"/>
        </w:rPr>
        <w:t>4</w:t>
      </w:r>
    </w:p>
    <w:p w14:paraId="2E000B58" w14:textId="77777777" w:rsidR="009C3AE9" w:rsidRPr="006277B0" w:rsidRDefault="009C3AE9" w:rsidP="003D2E4B">
      <w:pPr>
        <w:pStyle w:val="BodyText"/>
      </w:pPr>
      <w:r w:rsidRPr="006277B0">
        <w:rPr>
          <w:rStyle w:val="cf11"/>
          <w:rFonts w:ascii="CVS Health Sans" w:hAnsi="CVS Health Sans" w:cs="Arial"/>
          <w:sz w:val="22"/>
          <w:szCs w:val="22"/>
        </w:rPr>
        <w:t xml:space="preserve">Authorization of 12 months may be granted for continued treatment for pubertal hormonal suppression in adolescent members requesting reauthorization when </w:t>
      </w:r>
      <w:proofErr w:type="gramStart"/>
      <w:r w:rsidRPr="006277B0">
        <w:rPr>
          <w:rStyle w:val="cf11"/>
          <w:rFonts w:ascii="CVS Health Sans" w:hAnsi="CVS Health Sans" w:cs="Arial"/>
          <w:sz w:val="22"/>
          <w:szCs w:val="22"/>
        </w:rPr>
        <w:t>all of</w:t>
      </w:r>
      <w:proofErr w:type="gramEnd"/>
      <w:r w:rsidRPr="006277B0">
        <w:rPr>
          <w:rStyle w:val="cf11"/>
          <w:rFonts w:ascii="CVS Health Sans" w:hAnsi="CVS Health Sans" w:cs="Arial"/>
          <w:sz w:val="22"/>
          <w:szCs w:val="22"/>
        </w:rPr>
        <w:t xml:space="preserve"> the following criteria are met:</w:t>
      </w:r>
    </w:p>
    <w:p w14:paraId="52BFFF71" w14:textId="77777777" w:rsidR="009C3AE9" w:rsidRPr="003D2E4B" w:rsidRDefault="009C3AE9" w:rsidP="003D2E4B">
      <w:pPr>
        <w:pStyle w:val="ListParagraph"/>
      </w:pPr>
      <w:r w:rsidRPr="003D2E4B">
        <w:rPr>
          <w:rStyle w:val="cf11"/>
          <w:rFonts w:ascii="CVS Health Sans" w:hAnsi="CVS Health Sans" w:cs="Arial"/>
          <w:sz w:val="22"/>
          <w:szCs w:val="22"/>
        </w:rPr>
        <w:t>The member has a diagnosis of gender dysphoria.</w:t>
      </w:r>
    </w:p>
    <w:p w14:paraId="2AB76F0A" w14:textId="77777777" w:rsidR="009C3AE9" w:rsidRPr="003D2E4B" w:rsidRDefault="009C3AE9" w:rsidP="003D2E4B">
      <w:pPr>
        <w:pStyle w:val="ListParagraph"/>
      </w:pPr>
      <w:r w:rsidRPr="003D2E4B">
        <w:rPr>
          <w:rStyle w:val="cf11"/>
          <w:rFonts w:ascii="CVS Health Sans" w:hAnsi="CVS Health Sans" w:cs="Arial"/>
          <w:sz w:val="22"/>
          <w:szCs w:val="22"/>
        </w:rPr>
        <w:t xml:space="preserve">The member </w:t>
      </w:r>
      <w:proofErr w:type="gramStart"/>
      <w:r w:rsidRPr="003D2E4B">
        <w:rPr>
          <w:rStyle w:val="cf11"/>
          <w:rFonts w:ascii="CVS Health Sans" w:hAnsi="CVS Health Sans" w:cs="Arial"/>
          <w:sz w:val="22"/>
          <w:szCs w:val="22"/>
        </w:rPr>
        <w:t>is able to</w:t>
      </w:r>
      <w:proofErr w:type="gramEnd"/>
      <w:r w:rsidRPr="003D2E4B">
        <w:rPr>
          <w:rStyle w:val="cf11"/>
          <w:rFonts w:ascii="CVS Health Sans" w:hAnsi="CVS Health Sans" w:cs="Arial"/>
          <w:sz w:val="22"/>
          <w:szCs w:val="22"/>
        </w:rPr>
        <w:t xml:space="preserve"> make an informed decision to engage in treatment.</w:t>
      </w:r>
    </w:p>
    <w:p w14:paraId="5A2B9611" w14:textId="77777777" w:rsidR="009C3AE9" w:rsidRPr="003D2E4B" w:rsidRDefault="009C3AE9" w:rsidP="003D2E4B">
      <w:pPr>
        <w:pStyle w:val="ListParagraph"/>
      </w:pPr>
      <w:r w:rsidRPr="003D2E4B">
        <w:rPr>
          <w:rStyle w:val="cf11"/>
          <w:rFonts w:ascii="CVS Health Sans" w:hAnsi="CVS Health Sans" w:cs="Arial"/>
          <w:sz w:val="22"/>
          <w:szCs w:val="22"/>
        </w:rPr>
        <w:t>The member has previously reached Tanner stage 2 of puberty or greater.</w:t>
      </w:r>
    </w:p>
    <w:p w14:paraId="5528F64C" w14:textId="77777777" w:rsidR="009C3AE9" w:rsidRPr="003D2E4B" w:rsidRDefault="009C3AE9" w:rsidP="003D2E4B">
      <w:pPr>
        <w:pStyle w:val="ListParagraph"/>
      </w:pPr>
      <w:r w:rsidRPr="003D2E4B">
        <w:rPr>
          <w:rStyle w:val="cf11"/>
          <w:rFonts w:ascii="CVS Health Sans" w:hAnsi="CVS Health Sans" w:cs="Arial"/>
          <w:sz w:val="22"/>
          <w:szCs w:val="22"/>
        </w:rPr>
        <w:t>The member’s comorbid conditions are reasonably controlled.</w:t>
      </w:r>
    </w:p>
    <w:p w14:paraId="1F7D9F92" w14:textId="77777777" w:rsidR="009C3AE9" w:rsidRPr="003D2E4B" w:rsidRDefault="009C3AE9" w:rsidP="003D2E4B">
      <w:pPr>
        <w:pStyle w:val="ListParagraph"/>
      </w:pPr>
      <w:r w:rsidRPr="003D2E4B">
        <w:rPr>
          <w:rStyle w:val="cf11"/>
          <w:rFonts w:ascii="CVS Health Sans" w:hAnsi="CVS Health Sans" w:cs="Arial"/>
          <w:sz w:val="22"/>
          <w:szCs w:val="22"/>
        </w:rPr>
        <w:t>The member has been educated on any contraindications and side effects to therapy.</w:t>
      </w:r>
    </w:p>
    <w:p w14:paraId="315F7556" w14:textId="77777777" w:rsidR="009C3AE9" w:rsidRPr="003D2E4B" w:rsidRDefault="009C3AE9" w:rsidP="003D2E4B">
      <w:pPr>
        <w:pStyle w:val="ListParagraph"/>
      </w:pPr>
      <w:r w:rsidRPr="003D2E4B">
        <w:rPr>
          <w:rStyle w:val="cf11"/>
          <w:rFonts w:ascii="CVS Health Sans" w:hAnsi="CVS Health Sans" w:cs="Arial"/>
          <w:sz w:val="22"/>
          <w:szCs w:val="22"/>
        </w:rPr>
        <w:t>Before the start of therapy, the member has been informed of fertility preservation options.</w:t>
      </w:r>
    </w:p>
    <w:p w14:paraId="36254127" w14:textId="77777777" w:rsidR="009C3AE9" w:rsidRPr="006277B0" w:rsidRDefault="009C3AE9" w:rsidP="003D2E4B">
      <w:pPr>
        <w:pStyle w:val="BodyText"/>
      </w:pPr>
      <w:r w:rsidRPr="006277B0">
        <w:rPr>
          <w:rStyle w:val="cf11"/>
          <w:rFonts w:ascii="CVS Health Sans" w:hAnsi="CVS Health Sans" w:cs="Arial"/>
          <w:sz w:val="22"/>
          <w:szCs w:val="22"/>
        </w:rPr>
        <w:t xml:space="preserve">Authorization of 12 months may be granted for continued treatment for gender transition in members requesting reauthorization when </w:t>
      </w:r>
      <w:proofErr w:type="gramStart"/>
      <w:r w:rsidRPr="006277B0">
        <w:rPr>
          <w:rStyle w:val="cf11"/>
          <w:rFonts w:ascii="CVS Health Sans" w:hAnsi="CVS Health Sans" w:cs="Arial"/>
          <w:sz w:val="22"/>
          <w:szCs w:val="22"/>
        </w:rPr>
        <w:t>all of</w:t>
      </w:r>
      <w:proofErr w:type="gramEnd"/>
      <w:r w:rsidRPr="006277B0">
        <w:rPr>
          <w:rStyle w:val="cf11"/>
          <w:rFonts w:ascii="CVS Health Sans" w:hAnsi="CVS Health Sans" w:cs="Arial"/>
          <w:sz w:val="22"/>
          <w:szCs w:val="22"/>
        </w:rPr>
        <w:t xml:space="preserve"> the following criteria are met:</w:t>
      </w:r>
    </w:p>
    <w:p w14:paraId="4E4157FF" w14:textId="77777777" w:rsidR="009C3AE9" w:rsidRPr="003D2E4B" w:rsidRDefault="009C3AE9" w:rsidP="003D2E4B">
      <w:pPr>
        <w:pStyle w:val="ListParagraph"/>
      </w:pPr>
      <w:r w:rsidRPr="003D2E4B">
        <w:rPr>
          <w:rStyle w:val="cf11"/>
          <w:rFonts w:ascii="CVS Health Sans" w:hAnsi="CVS Health Sans" w:cs="Arial"/>
          <w:sz w:val="22"/>
          <w:szCs w:val="22"/>
        </w:rPr>
        <w:t>The member has a diagnosis of gender dysphoria.</w:t>
      </w:r>
    </w:p>
    <w:p w14:paraId="3BD9C1E1" w14:textId="77777777" w:rsidR="009C3AE9" w:rsidRPr="003D2E4B" w:rsidRDefault="009C3AE9" w:rsidP="003D2E4B">
      <w:pPr>
        <w:pStyle w:val="ListParagraph"/>
      </w:pPr>
      <w:r w:rsidRPr="003D2E4B">
        <w:rPr>
          <w:rStyle w:val="cf11"/>
          <w:rFonts w:ascii="CVS Health Sans" w:hAnsi="CVS Health Sans" w:cs="Arial"/>
          <w:sz w:val="22"/>
          <w:szCs w:val="22"/>
        </w:rPr>
        <w:t xml:space="preserve">The member </w:t>
      </w:r>
      <w:proofErr w:type="gramStart"/>
      <w:r w:rsidRPr="003D2E4B">
        <w:rPr>
          <w:rStyle w:val="cf11"/>
          <w:rFonts w:ascii="CVS Health Sans" w:hAnsi="CVS Health Sans" w:cs="Arial"/>
          <w:sz w:val="22"/>
          <w:szCs w:val="22"/>
        </w:rPr>
        <w:t>is able to</w:t>
      </w:r>
      <w:proofErr w:type="gramEnd"/>
      <w:r w:rsidRPr="003D2E4B">
        <w:rPr>
          <w:rStyle w:val="cf11"/>
          <w:rFonts w:ascii="CVS Health Sans" w:hAnsi="CVS Health Sans" w:cs="Arial"/>
          <w:sz w:val="22"/>
          <w:szCs w:val="22"/>
        </w:rPr>
        <w:t xml:space="preserve"> make an informed decision to engage in treatment.</w:t>
      </w:r>
    </w:p>
    <w:p w14:paraId="2BEFB253" w14:textId="77777777" w:rsidR="009C3AE9" w:rsidRPr="003D2E4B" w:rsidRDefault="009C3AE9" w:rsidP="003D2E4B">
      <w:pPr>
        <w:pStyle w:val="ListParagraph"/>
      </w:pPr>
      <w:r w:rsidRPr="003D2E4B">
        <w:rPr>
          <w:rStyle w:val="cf11"/>
          <w:rFonts w:ascii="CVS Health Sans" w:hAnsi="CVS Health Sans" w:cs="Arial"/>
          <w:sz w:val="22"/>
          <w:szCs w:val="22"/>
        </w:rPr>
        <w:t>The member will receive requested medication concomitantly with gender-affirming hormones.</w:t>
      </w:r>
    </w:p>
    <w:p w14:paraId="2598EEF9" w14:textId="77777777" w:rsidR="009C3AE9" w:rsidRPr="003D2E4B" w:rsidRDefault="009C3AE9" w:rsidP="003D2E4B">
      <w:pPr>
        <w:pStyle w:val="ListParagraph"/>
      </w:pPr>
      <w:r w:rsidRPr="003D2E4B">
        <w:rPr>
          <w:rStyle w:val="cf11"/>
          <w:rFonts w:ascii="CVS Health Sans" w:hAnsi="CVS Health Sans" w:cs="Arial"/>
          <w:sz w:val="22"/>
          <w:szCs w:val="22"/>
        </w:rPr>
        <w:t>The member’s comorbid conditions are reasonably controlled.</w:t>
      </w:r>
    </w:p>
    <w:p w14:paraId="7714919B" w14:textId="77777777" w:rsidR="009C3AE9" w:rsidRPr="003D2E4B" w:rsidRDefault="009C3AE9" w:rsidP="003D2E4B">
      <w:pPr>
        <w:pStyle w:val="ListParagraph"/>
      </w:pPr>
      <w:r w:rsidRPr="003D2E4B">
        <w:rPr>
          <w:rStyle w:val="cf11"/>
          <w:rFonts w:ascii="CVS Health Sans" w:hAnsi="CVS Health Sans" w:cs="Arial"/>
          <w:sz w:val="22"/>
          <w:szCs w:val="22"/>
        </w:rPr>
        <w:t>The member has been educated on any contraindications and side effects to therapy.</w:t>
      </w:r>
    </w:p>
    <w:p w14:paraId="6EEF00E3" w14:textId="7106A2F1" w:rsidR="00856095" w:rsidRPr="003D2E4B" w:rsidRDefault="009C3AE9" w:rsidP="003D2E4B">
      <w:pPr>
        <w:pStyle w:val="ListParagraph"/>
      </w:pPr>
      <w:r w:rsidRPr="793CAC84">
        <w:rPr>
          <w:rStyle w:val="cf11"/>
          <w:rFonts w:ascii="CVS Health Sans" w:hAnsi="CVS Health Sans" w:cs="Arial"/>
          <w:sz w:val="22"/>
          <w:szCs w:val="22"/>
        </w:rPr>
        <w:t>Before the start of therapy, the member has been informed of fertility preservation options.</w:t>
      </w:r>
    </w:p>
    <w:p w14:paraId="7275DBB5" w14:textId="480BB2E7" w:rsidR="00196FCF" w:rsidRDefault="478F0B5A" w:rsidP="793CAC84">
      <w:pPr>
        <w:pStyle w:val="Heading3"/>
      </w:pPr>
      <w:r w:rsidRPr="793CAC84">
        <w:rPr>
          <w:rFonts w:eastAsia="CVS Health Sans" w:cs="CVS Health Sans"/>
          <w:bCs w:val="0"/>
        </w:rPr>
        <w:t>Preservation of Ovarian Function and Prevention of Recurrent Menstrual Related Attacks in Acute Porphyria</w:t>
      </w:r>
    </w:p>
    <w:p w14:paraId="32349005" w14:textId="7EEB80E0" w:rsidR="00196FCF" w:rsidRDefault="478F0B5A" w:rsidP="793CAC84">
      <w:pPr>
        <w:spacing w:after="120"/>
      </w:pPr>
      <w:r w:rsidRPr="3EA3EEA9">
        <w:rPr>
          <w:rFonts w:eastAsia="CVS Health Sans" w:cs="CVS Health Sans"/>
          <w:szCs w:val="22"/>
        </w:rPr>
        <w:t>All members (including new members) requesting authorization for continuation of therapy</w:t>
      </w:r>
      <w:r w:rsidR="4C2C57DB" w:rsidRPr="3EA3EEA9">
        <w:rPr>
          <w:rFonts w:eastAsia="CVS Health Sans" w:cs="CVS Health Sans"/>
          <w:szCs w:val="22"/>
        </w:rPr>
        <w:t xml:space="preserve"> must</w:t>
      </w:r>
      <w:r w:rsidRPr="3EA3EEA9">
        <w:rPr>
          <w:rFonts w:eastAsia="CVS Health Sans" w:cs="CVS Health Sans"/>
          <w:szCs w:val="22"/>
        </w:rPr>
        <w:t xml:space="preserve"> meet all requirements in the coverage criteria</w:t>
      </w:r>
      <w:r w:rsidR="7DCA7F07" w:rsidRPr="3EA3EEA9">
        <w:rPr>
          <w:rFonts w:eastAsia="CVS Health Sans" w:cs="CVS Health Sans"/>
          <w:szCs w:val="22"/>
        </w:rPr>
        <w:t xml:space="preserve"> section</w:t>
      </w:r>
      <w:r w:rsidRPr="3EA3EEA9">
        <w:rPr>
          <w:rFonts w:eastAsia="CVS Health Sans" w:cs="CVS Health Sans"/>
          <w:szCs w:val="22"/>
        </w:rPr>
        <w:t>.</w:t>
      </w:r>
    </w:p>
    <w:p w14:paraId="16CA4436" w14:textId="0E423AFD" w:rsidR="00196FCF" w:rsidRDefault="00196FCF" w:rsidP="00F05ED9">
      <w:pPr>
        <w:pStyle w:val="Heading2"/>
        <w:keepNext w:val="0"/>
      </w:pPr>
      <w:r>
        <w:t>O</w:t>
      </w:r>
      <w:r w:rsidR="00190EFC">
        <w:t>ther</w:t>
      </w:r>
    </w:p>
    <w:p w14:paraId="776A5253" w14:textId="59DA7986" w:rsidR="009D4279" w:rsidRDefault="00196FCF" w:rsidP="00F05ED9">
      <w:pPr>
        <w:pStyle w:val="BodyText"/>
      </w:pPr>
      <w:r w:rsidRPr="00992E88">
        <w:t>Per state regulatory guidelines around gender dysphoria, age restrictions may apply.</w:t>
      </w:r>
    </w:p>
    <w:p w14:paraId="0A275F8B" w14:textId="2D74E684" w:rsidR="000E0438" w:rsidRPr="008D1B34" w:rsidRDefault="000E0438" w:rsidP="00F05ED9">
      <w:pPr>
        <w:pStyle w:val="Heading2"/>
        <w:keepNext w:val="0"/>
      </w:pPr>
      <w:r w:rsidRPr="008D1B34">
        <w:t>References</w:t>
      </w:r>
    </w:p>
    <w:p w14:paraId="3F01CD95" w14:textId="78BC31D0" w:rsidR="001C18B8" w:rsidRPr="00902477" w:rsidRDefault="001C18B8" w:rsidP="00294251">
      <w:pPr>
        <w:pStyle w:val="ReferenceOrdered"/>
        <w:keepNext w:val="0"/>
        <w:keepLines w:val="0"/>
      </w:pPr>
      <w:r w:rsidRPr="00902477">
        <w:t xml:space="preserve">Lupron Depot 3.75 mg [package insert]. North Chicago, IL: AbbVie Inc.; </w:t>
      </w:r>
      <w:r w:rsidR="00041B2B" w:rsidRPr="00902477">
        <w:t>October 2023</w:t>
      </w:r>
      <w:r w:rsidRPr="00902477">
        <w:t>.</w:t>
      </w:r>
    </w:p>
    <w:p w14:paraId="4338AEB0" w14:textId="66CFECED" w:rsidR="001C18B8" w:rsidRPr="00902477" w:rsidRDefault="001C18B8" w:rsidP="001C18B8">
      <w:pPr>
        <w:pStyle w:val="ReferenceOrdered"/>
      </w:pPr>
      <w:r w:rsidRPr="00902477">
        <w:lastRenderedPageBreak/>
        <w:t xml:space="preserve">Lupron Depot-3 Month 11.25 mg [package insert.]. North Chicago, IL: AbbVie Inc.; </w:t>
      </w:r>
      <w:r w:rsidR="00972286" w:rsidRPr="00902477">
        <w:t>October 2023</w:t>
      </w:r>
      <w:r w:rsidRPr="00902477">
        <w:t>.</w:t>
      </w:r>
    </w:p>
    <w:p w14:paraId="70925C71" w14:textId="42636193" w:rsidR="001C18B8" w:rsidRPr="00902477" w:rsidRDefault="001C18B8" w:rsidP="001C18B8">
      <w:pPr>
        <w:pStyle w:val="ReferenceOrdered"/>
      </w:pPr>
      <w:r w:rsidRPr="00902477">
        <w:t xml:space="preserve">The NCCN Drugs &amp; Biologics Compendium® © </w:t>
      </w:r>
      <w:r w:rsidR="0055641E" w:rsidRPr="00902477">
        <w:t>202</w:t>
      </w:r>
      <w:r w:rsidR="00DB4886" w:rsidRPr="00902477">
        <w:t>5</w:t>
      </w:r>
      <w:r w:rsidR="0055641E" w:rsidRPr="00902477">
        <w:t xml:space="preserve"> </w:t>
      </w:r>
      <w:r w:rsidRPr="00902477">
        <w:t xml:space="preserve">National Comprehensive Cancer Network, Inc. http://www.nccn.org. Accessed </w:t>
      </w:r>
      <w:r w:rsidR="0055641E" w:rsidRPr="00902477">
        <w:t>February 1</w:t>
      </w:r>
      <w:r w:rsidR="004B017F" w:rsidRPr="00902477">
        <w:t>8</w:t>
      </w:r>
      <w:r w:rsidR="0055641E" w:rsidRPr="00902477">
        <w:t>, 202</w:t>
      </w:r>
      <w:r w:rsidR="004B017F" w:rsidRPr="00902477">
        <w:t>5</w:t>
      </w:r>
      <w:r w:rsidRPr="00902477">
        <w:t>.</w:t>
      </w:r>
    </w:p>
    <w:p w14:paraId="39F15855" w14:textId="77539E8D" w:rsidR="001C18B8" w:rsidRPr="00902477" w:rsidRDefault="001C18B8" w:rsidP="001C18B8">
      <w:pPr>
        <w:pStyle w:val="ReferenceOrdered"/>
      </w:pPr>
      <w:bookmarkStart w:id="1" w:name="OLE_LINK12"/>
      <w:bookmarkStart w:id="2" w:name="OLE_LINK14"/>
      <w:r w:rsidRPr="00902477">
        <w:t xml:space="preserve">Management of symptomatic uterine leiomyomas: ACOG Practice Bulletin No. 228. American College of Obstetricians and Gynecologists. </w:t>
      </w:r>
      <w:proofErr w:type="spellStart"/>
      <w:r w:rsidRPr="00902477">
        <w:t>Obstet</w:t>
      </w:r>
      <w:proofErr w:type="spellEnd"/>
      <w:r w:rsidRPr="00902477">
        <w:t xml:space="preserve"> Gynecol. 2021 June 1;137(6</w:t>
      </w:r>
      <w:proofErr w:type="gramStart"/>
      <w:r w:rsidRPr="00902477">
        <w:t>):e</w:t>
      </w:r>
      <w:proofErr w:type="gramEnd"/>
      <w:r w:rsidRPr="00902477">
        <w:t>100-e115.</w:t>
      </w:r>
      <w:bookmarkEnd w:id="1"/>
    </w:p>
    <w:bookmarkEnd w:id="2"/>
    <w:p w14:paraId="7AD68353" w14:textId="77777777" w:rsidR="001C18B8" w:rsidRPr="00902477" w:rsidRDefault="001C18B8" w:rsidP="001C18B8">
      <w:pPr>
        <w:pStyle w:val="ReferenceOrdered"/>
      </w:pPr>
      <w:proofErr w:type="spellStart"/>
      <w:r w:rsidRPr="00902477">
        <w:t>Marret</w:t>
      </w:r>
      <w:proofErr w:type="spellEnd"/>
      <w:r w:rsidRPr="00902477">
        <w:t xml:space="preserve"> H, </w:t>
      </w:r>
      <w:proofErr w:type="spellStart"/>
      <w:r w:rsidRPr="00902477">
        <w:t>Fritel</w:t>
      </w:r>
      <w:proofErr w:type="spellEnd"/>
      <w:r w:rsidRPr="00902477">
        <w:t xml:space="preserve"> X, </w:t>
      </w:r>
      <w:proofErr w:type="spellStart"/>
      <w:r w:rsidRPr="00902477">
        <w:t>Ouldamer</w:t>
      </w:r>
      <w:proofErr w:type="spellEnd"/>
      <w:r w:rsidRPr="00902477">
        <w:t xml:space="preserve"> L, et al. </w:t>
      </w:r>
      <w:bookmarkStart w:id="3" w:name="OLE_LINK18"/>
      <w:r w:rsidRPr="00902477">
        <w:t>Therapeutic management of uterine fibroid tumors: updated French guidelines.</w:t>
      </w:r>
      <w:bookmarkEnd w:id="3"/>
      <w:r w:rsidRPr="00902477">
        <w:t xml:space="preserve"> European Journal of Obstetrics and Gynecology and Reproductive Biology. </w:t>
      </w:r>
      <w:proofErr w:type="gramStart"/>
      <w:r w:rsidRPr="00902477">
        <w:t>2012;165:156</w:t>
      </w:r>
      <w:proofErr w:type="gramEnd"/>
      <w:r w:rsidRPr="00902477">
        <w:t>-164.</w:t>
      </w:r>
    </w:p>
    <w:p w14:paraId="12790E2D" w14:textId="0595D860" w:rsidR="001C18B8" w:rsidRPr="00902477" w:rsidRDefault="001C18B8" w:rsidP="001C18B8">
      <w:pPr>
        <w:pStyle w:val="ReferenceOrdered"/>
      </w:pPr>
      <w:proofErr w:type="spellStart"/>
      <w:r w:rsidRPr="00902477">
        <w:t>Hembree</w:t>
      </w:r>
      <w:proofErr w:type="spellEnd"/>
      <w:r w:rsidRPr="00902477">
        <w:t xml:space="preserve"> WC, Cohen-</w:t>
      </w:r>
      <w:proofErr w:type="spellStart"/>
      <w:r w:rsidRPr="00902477">
        <w:t>Kettenis</w:t>
      </w:r>
      <w:proofErr w:type="spellEnd"/>
      <w:r w:rsidRPr="00902477">
        <w:t xml:space="preserve"> PT, </w:t>
      </w:r>
      <w:proofErr w:type="spellStart"/>
      <w:r w:rsidRPr="00902477">
        <w:t>Gooren</w:t>
      </w:r>
      <w:proofErr w:type="spellEnd"/>
      <w:r w:rsidRPr="00902477">
        <w:t xml:space="preserve"> L, et al. Endocrine </w:t>
      </w:r>
      <w:r w:rsidR="004A5198" w:rsidRPr="00902477">
        <w:t xml:space="preserve">treatment </w:t>
      </w:r>
      <w:r w:rsidRPr="00902477">
        <w:t xml:space="preserve">of </w:t>
      </w:r>
      <w:r w:rsidR="00F84B5F" w:rsidRPr="00902477">
        <w:t>gender-dysphoric/gender-incongruent persons: an</w:t>
      </w:r>
      <w:r w:rsidRPr="00902477">
        <w:t xml:space="preserve"> Endocrine Society </w:t>
      </w:r>
      <w:r w:rsidR="006334FF" w:rsidRPr="00902477">
        <w:t>c</w:t>
      </w:r>
      <w:r w:rsidRPr="00902477">
        <w:t xml:space="preserve">linical </w:t>
      </w:r>
      <w:r w:rsidR="006334FF" w:rsidRPr="00902477">
        <w:t>p</w:t>
      </w:r>
      <w:r w:rsidRPr="00902477">
        <w:t xml:space="preserve">ractice </w:t>
      </w:r>
      <w:r w:rsidR="006334FF" w:rsidRPr="00902477">
        <w:t>g</w:t>
      </w:r>
      <w:r w:rsidRPr="00902477">
        <w:t xml:space="preserve">uideline. J Clin Endocrinol </w:t>
      </w:r>
      <w:proofErr w:type="spellStart"/>
      <w:r w:rsidRPr="00902477">
        <w:t>Metab</w:t>
      </w:r>
      <w:proofErr w:type="spellEnd"/>
      <w:r w:rsidRPr="00902477">
        <w:t>. 2017:102(11):3869–3903.</w:t>
      </w:r>
    </w:p>
    <w:p w14:paraId="4921941D" w14:textId="77777777" w:rsidR="001C18B8" w:rsidRPr="00902477" w:rsidRDefault="001C18B8" w:rsidP="001C18B8">
      <w:pPr>
        <w:pStyle w:val="ReferenceOrdered"/>
      </w:pPr>
      <w:r w:rsidRPr="00902477">
        <w:t>Gender Identity Research and Education Society. Guidance for GPs and other clinicians on the treatment of gender variant people. UK Department of Health. Published March 10, 2008.</w:t>
      </w:r>
    </w:p>
    <w:p w14:paraId="283BE61E" w14:textId="43A0D61A" w:rsidR="001C18B8" w:rsidRPr="00902477" w:rsidRDefault="00A63F33" w:rsidP="001C18B8">
      <w:pPr>
        <w:pStyle w:val="ReferenceOrdered"/>
      </w:pPr>
      <w:r w:rsidRPr="00902477">
        <w:rPr>
          <w:lang w:val="it-IT"/>
        </w:rPr>
        <w:t>Coleman E, Radix AE, Brown GR, et al.</w:t>
      </w:r>
      <w:r w:rsidR="000A61F2" w:rsidRPr="00902477">
        <w:rPr>
          <w:lang w:val="it-IT"/>
        </w:rPr>
        <w:t xml:space="preserve"> </w:t>
      </w:r>
      <w:r w:rsidR="001C18B8" w:rsidRPr="00902477">
        <w:t>Standards of care for the health of transgender, and gender-</w:t>
      </w:r>
      <w:r w:rsidR="00DA0A71" w:rsidRPr="00902477">
        <w:t xml:space="preserve">diverse </w:t>
      </w:r>
      <w:r w:rsidR="001C18B8" w:rsidRPr="00902477">
        <w:t xml:space="preserve">people, version. </w:t>
      </w:r>
      <w:r w:rsidR="002C69FE" w:rsidRPr="00902477">
        <w:t xml:space="preserve">8. </w:t>
      </w:r>
      <w:r w:rsidR="001C18B8" w:rsidRPr="00902477">
        <w:t xml:space="preserve">2022 </w:t>
      </w:r>
      <w:r w:rsidR="00C41DCD" w:rsidRPr="00902477">
        <w:t>;</w:t>
      </w:r>
      <w:r w:rsidR="00C05F90" w:rsidRPr="00902477">
        <w:t xml:space="preserve">23(Suppl </w:t>
      </w:r>
      <w:r w:rsidR="00F45E96" w:rsidRPr="00902477">
        <w:t>1</w:t>
      </w:r>
      <w:r w:rsidR="00E451A9" w:rsidRPr="00902477">
        <w:t>):</w:t>
      </w:r>
      <w:r w:rsidR="00CE0EBB" w:rsidRPr="00902477">
        <w:rPr>
          <w:rFonts w:ascii="Arial" w:hAnsi="Arial"/>
          <w:sz w:val="20"/>
          <w:szCs w:val="20"/>
        </w:rPr>
        <w:t xml:space="preserve"> </w:t>
      </w:r>
      <w:r w:rsidR="00CE0EBB" w:rsidRPr="00902477">
        <w:t>S1-S259</w:t>
      </w:r>
      <w:bookmarkStart w:id="4" w:name="OLE_LINK17"/>
      <w:r w:rsidR="00CE0EBB" w:rsidRPr="00902477">
        <w:t>.</w:t>
      </w:r>
      <w:bookmarkEnd w:id="4"/>
      <w:r w:rsidR="00CE0EBB" w:rsidRPr="00902477">
        <w:t xml:space="preserve"> </w:t>
      </w:r>
      <w:proofErr w:type="spellStart"/>
      <w:r w:rsidR="00CE0EBB" w:rsidRPr="00902477">
        <w:t>doi</w:t>
      </w:r>
      <w:proofErr w:type="spellEnd"/>
      <w:r w:rsidR="00CE0EBB" w:rsidRPr="00902477">
        <w:t>: 10.1080/26895269.2022.2100644</w:t>
      </w:r>
    </w:p>
    <w:p w14:paraId="1CF7CE9D" w14:textId="002593F3" w:rsidR="001C18B8" w:rsidRPr="00902477" w:rsidRDefault="005D23B7" w:rsidP="001C18B8">
      <w:pPr>
        <w:pStyle w:val="ReferenceOrdered"/>
        <w:rPr>
          <w:color w:val="000000" w:themeColor="text1"/>
        </w:rPr>
      </w:pPr>
      <w:bookmarkStart w:id="5" w:name="OLE_LINK13"/>
      <w:bookmarkStart w:id="6" w:name="_Hlk103782829"/>
      <w:proofErr w:type="spellStart"/>
      <w:r>
        <w:rPr>
          <w:shd w:val="clear" w:color="auto" w:fill="FFFFFF"/>
        </w:rPr>
        <w:t>Oktay</w:t>
      </w:r>
      <w:proofErr w:type="spellEnd"/>
      <w:r>
        <w:rPr>
          <w:shd w:val="clear" w:color="auto" w:fill="FFFFFF"/>
        </w:rPr>
        <w:t xml:space="preserve"> K, Harvey BE, </w:t>
      </w:r>
      <w:proofErr w:type="spellStart"/>
      <w:r w:rsidR="1F6E5443">
        <w:rPr>
          <w:shd w:val="clear" w:color="auto" w:fill="FFFFFF"/>
        </w:rPr>
        <w:t>Patridge</w:t>
      </w:r>
      <w:proofErr w:type="spellEnd"/>
      <w:r>
        <w:rPr>
          <w:shd w:val="clear" w:color="auto" w:fill="FFFFFF"/>
        </w:rPr>
        <w:t xml:space="preserve"> AH, et al. </w:t>
      </w:r>
      <w:r w:rsidR="001C18B8" w:rsidRPr="00902477">
        <w:rPr>
          <w:shd w:val="clear" w:color="auto" w:fill="FFFFFF"/>
        </w:rPr>
        <w:t>Fertility preservation in patients with cancer: ASCO Clinical Practice Guideline Update. J Clin Oncol. 2018 Jul 1;36(19):1994-2001.</w:t>
      </w:r>
      <w:bookmarkEnd w:id="5"/>
    </w:p>
    <w:bookmarkEnd w:id="6"/>
    <w:p w14:paraId="69BE1BF9" w14:textId="77777777" w:rsidR="001C18B8" w:rsidRPr="00902477" w:rsidRDefault="001C18B8" w:rsidP="001C18B8">
      <w:pPr>
        <w:pStyle w:val="ReferenceOrdered"/>
        <w:rPr>
          <w:color w:val="000000" w:themeColor="text1"/>
        </w:rPr>
      </w:pPr>
      <w:proofErr w:type="spellStart"/>
      <w:r w:rsidRPr="00902477">
        <w:rPr>
          <w:color w:val="000000" w:themeColor="text1"/>
        </w:rPr>
        <w:t>Clowse</w:t>
      </w:r>
      <w:proofErr w:type="spellEnd"/>
      <w:r w:rsidRPr="00902477">
        <w:rPr>
          <w:color w:val="000000" w:themeColor="text1"/>
        </w:rPr>
        <w:t xml:space="preserve"> MEB, Behera MA, Anders CK, et al. </w:t>
      </w:r>
      <w:bookmarkStart w:id="7" w:name="OLE_LINK31"/>
      <w:r w:rsidRPr="00902477">
        <w:rPr>
          <w:color w:val="000000" w:themeColor="text1"/>
        </w:rPr>
        <w:t>Ovarian preservation by GnRH agonists during chemotherapy</w:t>
      </w:r>
      <w:bookmarkEnd w:id="7"/>
      <w:r w:rsidRPr="00902477">
        <w:rPr>
          <w:color w:val="000000" w:themeColor="text1"/>
        </w:rPr>
        <w:t xml:space="preserve">: a meta-analysis. J </w:t>
      </w:r>
      <w:proofErr w:type="spellStart"/>
      <w:r w:rsidRPr="00902477">
        <w:rPr>
          <w:color w:val="000000" w:themeColor="text1"/>
        </w:rPr>
        <w:t>Womens</w:t>
      </w:r>
      <w:proofErr w:type="spellEnd"/>
      <w:r w:rsidRPr="00902477">
        <w:rPr>
          <w:color w:val="000000" w:themeColor="text1"/>
        </w:rPr>
        <w:t xml:space="preserve"> Health (</w:t>
      </w:r>
      <w:proofErr w:type="spellStart"/>
      <w:r w:rsidRPr="00902477">
        <w:rPr>
          <w:color w:val="000000" w:themeColor="text1"/>
        </w:rPr>
        <w:t>Larchmt</w:t>
      </w:r>
      <w:proofErr w:type="spellEnd"/>
      <w:r w:rsidRPr="00902477">
        <w:rPr>
          <w:color w:val="000000" w:themeColor="text1"/>
        </w:rPr>
        <w:t>). 2009 Mar; 18(3): 311–319. doi:10.1089/jwh.2008.0857</w:t>
      </w:r>
    </w:p>
    <w:p w14:paraId="3D440F7A" w14:textId="0C42848E" w:rsidR="001C18B8" w:rsidRPr="00902477" w:rsidRDefault="001C18B8" w:rsidP="001C18B8">
      <w:pPr>
        <w:pStyle w:val="ReferenceOrdered"/>
      </w:pPr>
      <w:bookmarkStart w:id="8" w:name="OLE_LINK3"/>
      <w:r w:rsidRPr="00902477">
        <w:rPr>
          <w:color w:val="000000" w:themeColor="text1"/>
        </w:rPr>
        <w:t>Stein P, Badminton M, Barth J,</w:t>
      </w:r>
      <w:r w:rsidR="002508B8" w:rsidRPr="00902477">
        <w:rPr>
          <w:rFonts w:ascii="Times New Roman" w:hAnsi="Times New Roman" w:cs="Times New Roman"/>
          <w:color w:val="000000" w:themeColor="text1"/>
          <w:sz w:val="20"/>
          <w:szCs w:val="20"/>
        </w:rPr>
        <w:t xml:space="preserve"> </w:t>
      </w:r>
      <w:r w:rsidR="002508B8" w:rsidRPr="00902477">
        <w:rPr>
          <w:color w:val="000000" w:themeColor="text1"/>
        </w:rPr>
        <w:t>et al.</w:t>
      </w:r>
      <w:r w:rsidRPr="00902477">
        <w:rPr>
          <w:color w:val="000000" w:themeColor="text1"/>
        </w:rPr>
        <w:t xml:space="preserve"> </w:t>
      </w:r>
      <w:bookmarkStart w:id="9" w:name="OLE_LINK19"/>
      <w:r w:rsidRPr="00902477">
        <w:rPr>
          <w:color w:val="000000" w:themeColor="text1"/>
        </w:rPr>
        <w:t xml:space="preserve">British and Irish Porphyria Network. Best practice </w:t>
      </w:r>
      <w:r w:rsidRPr="00902477">
        <w:t xml:space="preserve">guidelines on clinical management of acute attacks of </w:t>
      </w:r>
      <w:bookmarkStart w:id="10" w:name="OLE_LINK24"/>
      <w:r w:rsidRPr="00902477">
        <w:t xml:space="preserve">porphyria </w:t>
      </w:r>
      <w:bookmarkEnd w:id="10"/>
      <w:r w:rsidRPr="00902477">
        <w:t>and their complications</w:t>
      </w:r>
      <w:bookmarkEnd w:id="9"/>
      <w:r w:rsidRPr="00902477">
        <w:t xml:space="preserve">. Ann Clin </w:t>
      </w:r>
      <w:proofErr w:type="spellStart"/>
      <w:r w:rsidRPr="00902477">
        <w:t>Biochem</w:t>
      </w:r>
      <w:proofErr w:type="spellEnd"/>
      <w:r w:rsidRPr="00902477">
        <w:t>. 2013 May;50(Pt 3):217-23</w:t>
      </w:r>
      <w:bookmarkEnd w:id="8"/>
      <w:r w:rsidRPr="00902477">
        <w:t>.</w:t>
      </w:r>
    </w:p>
    <w:p w14:paraId="771283FF" w14:textId="53123402" w:rsidR="001C18B8" w:rsidRPr="00902477" w:rsidRDefault="001C18B8" w:rsidP="001C18B8">
      <w:pPr>
        <w:pStyle w:val="ReferenceOrdered"/>
      </w:pPr>
      <w:bookmarkStart w:id="11" w:name="OLE_LINK4"/>
      <w:r w:rsidRPr="00902477">
        <w:rPr>
          <w:shd w:val="clear" w:color="auto" w:fill="FFFFFF"/>
          <w:lang w:val="it-IT"/>
        </w:rPr>
        <w:t>Innala E, Bäckström T, Bixo M,</w:t>
      </w:r>
      <w:r w:rsidR="00950C16" w:rsidRPr="00902477">
        <w:rPr>
          <w:rFonts w:ascii="Times New Roman" w:hAnsi="Times New Roman" w:cs="Times New Roman"/>
          <w:color w:val="000000" w:themeColor="text1"/>
          <w:sz w:val="20"/>
          <w:szCs w:val="20"/>
          <w:lang w:val="it-IT"/>
        </w:rPr>
        <w:t xml:space="preserve"> </w:t>
      </w:r>
      <w:r w:rsidR="00950C16" w:rsidRPr="00902477">
        <w:rPr>
          <w:shd w:val="clear" w:color="auto" w:fill="FFFFFF"/>
          <w:lang w:val="it-IT"/>
        </w:rPr>
        <w:t>et al.</w:t>
      </w:r>
      <w:r w:rsidRPr="00902477">
        <w:rPr>
          <w:shd w:val="clear" w:color="auto" w:fill="FFFFFF"/>
          <w:lang w:val="it-IT"/>
        </w:rPr>
        <w:t xml:space="preserve"> </w:t>
      </w:r>
      <w:r w:rsidRPr="00902477">
        <w:rPr>
          <w:shd w:val="clear" w:color="auto" w:fill="FFFFFF"/>
        </w:rPr>
        <w:t>C. </w:t>
      </w:r>
      <w:bookmarkStart w:id="12" w:name="OLE_LINK16"/>
      <w:r w:rsidRPr="00902477">
        <w:rPr>
          <w:rStyle w:val="nlmarticle-title"/>
          <w:shd w:val="clear" w:color="auto" w:fill="FFFFFF"/>
        </w:rPr>
        <w:t xml:space="preserve">Evaluation of </w:t>
      </w:r>
      <w:bookmarkStart w:id="13" w:name="OLE_LINK25"/>
      <w:r w:rsidRPr="00902477">
        <w:rPr>
          <w:rStyle w:val="nlmarticle-title"/>
          <w:shd w:val="clear" w:color="auto" w:fill="FFFFFF"/>
        </w:rPr>
        <w:t>gonadotrophin-releasing hormone agonist treatment for prevention of menstrual-related attacks in acute porphyria</w:t>
      </w:r>
      <w:bookmarkEnd w:id="12"/>
      <w:bookmarkEnd w:id="13"/>
      <w:r w:rsidRPr="00902477">
        <w:rPr>
          <w:shd w:val="clear" w:color="auto" w:fill="FFFFFF"/>
        </w:rPr>
        <w:t xml:space="preserve">. Acta </w:t>
      </w:r>
      <w:proofErr w:type="spellStart"/>
      <w:r w:rsidRPr="00902477">
        <w:rPr>
          <w:shd w:val="clear" w:color="auto" w:fill="FFFFFF"/>
        </w:rPr>
        <w:t>Obstet</w:t>
      </w:r>
      <w:proofErr w:type="spellEnd"/>
      <w:r w:rsidRPr="00902477">
        <w:rPr>
          <w:shd w:val="clear" w:color="auto" w:fill="FFFFFF"/>
        </w:rPr>
        <w:t xml:space="preserve"> </w:t>
      </w:r>
      <w:proofErr w:type="spellStart"/>
      <w:r w:rsidRPr="00902477">
        <w:rPr>
          <w:shd w:val="clear" w:color="auto" w:fill="FFFFFF"/>
        </w:rPr>
        <w:t>Gynecol</w:t>
      </w:r>
      <w:proofErr w:type="spellEnd"/>
      <w:r w:rsidRPr="00902477">
        <w:rPr>
          <w:shd w:val="clear" w:color="auto" w:fill="FFFFFF"/>
        </w:rPr>
        <w:t> </w:t>
      </w:r>
      <w:proofErr w:type="gramStart"/>
      <w:r w:rsidRPr="00902477">
        <w:rPr>
          <w:rStyle w:val="nlmyear"/>
          <w:shd w:val="clear" w:color="auto" w:fill="FFFFFF"/>
        </w:rPr>
        <w:t>2010</w:t>
      </w:r>
      <w:r w:rsidRPr="00902477">
        <w:rPr>
          <w:shd w:val="clear" w:color="auto" w:fill="FFFFFF"/>
        </w:rPr>
        <w:t>;89:</w:t>
      </w:r>
      <w:r w:rsidRPr="00902477">
        <w:rPr>
          <w:rStyle w:val="nlmfpage"/>
          <w:shd w:val="clear" w:color="auto" w:fill="FFFFFF"/>
        </w:rPr>
        <w:t>95</w:t>
      </w:r>
      <w:proofErr w:type="gramEnd"/>
      <w:r w:rsidRPr="00902477">
        <w:rPr>
          <w:shd w:val="clear" w:color="auto" w:fill="FFFFFF"/>
        </w:rPr>
        <w:t>–</w:t>
      </w:r>
      <w:r w:rsidRPr="00902477">
        <w:rPr>
          <w:rStyle w:val="nlmlpage"/>
          <w:shd w:val="clear" w:color="auto" w:fill="FFFFFF"/>
        </w:rPr>
        <w:t>100</w:t>
      </w:r>
      <w:r w:rsidRPr="00902477">
        <w:rPr>
          <w:shd w:val="clear" w:color="auto" w:fill="FFFFFF"/>
        </w:rPr>
        <w:t>.</w:t>
      </w:r>
    </w:p>
    <w:p w14:paraId="1C5ED52F" w14:textId="0E3A313B" w:rsidR="001C18B8" w:rsidRPr="00902477" w:rsidRDefault="001C18B8" w:rsidP="001C18B8">
      <w:pPr>
        <w:pStyle w:val="ReferenceOrdered"/>
      </w:pPr>
      <w:bookmarkStart w:id="14" w:name="OLE_LINK30"/>
      <w:bookmarkStart w:id="15" w:name="OLE_LINK36"/>
      <w:bookmarkEnd w:id="11"/>
      <w:proofErr w:type="spellStart"/>
      <w:r w:rsidRPr="00902477">
        <w:t>Mahfouda</w:t>
      </w:r>
      <w:proofErr w:type="spellEnd"/>
      <w:r w:rsidRPr="00902477">
        <w:t xml:space="preserve"> S, Moore JK, </w:t>
      </w:r>
      <w:proofErr w:type="spellStart"/>
      <w:r w:rsidRPr="00902477">
        <w:t>Siafarikas</w:t>
      </w:r>
      <w:proofErr w:type="spellEnd"/>
      <w:r w:rsidRPr="00902477">
        <w:t xml:space="preserve"> A, et al. Puberty </w:t>
      </w:r>
      <w:r w:rsidR="00B32FEA" w:rsidRPr="00902477">
        <w:t xml:space="preserve">suppression </w:t>
      </w:r>
      <w:r w:rsidRPr="00902477">
        <w:t xml:space="preserve">in </w:t>
      </w:r>
      <w:r w:rsidR="0087515C" w:rsidRPr="00902477">
        <w:t>t</w:t>
      </w:r>
      <w:r w:rsidR="00B32FEA" w:rsidRPr="00902477">
        <w:t xml:space="preserve">ransgender children </w:t>
      </w:r>
      <w:r w:rsidRPr="00902477">
        <w:t xml:space="preserve">and </w:t>
      </w:r>
      <w:r w:rsidR="00B32FEA" w:rsidRPr="00902477">
        <w:t>adolescents</w:t>
      </w:r>
      <w:r w:rsidRPr="00902477">
        <w:t>. Lancet Diabetes Endocrinol. 2017; 5: 816-26.</w:t>
      </w:r>
    </w:p>
    <w:p w14:paraId="1F8CAAFC" w14:textId="5932864E" w:rsidR="00ED47D8" w:rsidRDefault="001C18B8" w:rsidP="007953AD">
      <w:pPr>
        <w:pStyle w:val="ReferenceOrdered"/>
      </w:pPr>
      <w:bookmarkStart w:id="16" w:name="OLE_LINK33"/>
      <w:r>
        <w:t xml:space="preserve">Health Care for Transgender and Gender Diverse Individuals. ©2021 The American College of Obstetricians and Gynecologists. </w:t>
      </w:r>
      <w:r w:rsidR="002310A9" w:rsidRPr="002310A9">
        <w:t xml:space="preserve">Available at: </w:t>
      </w:r>
      <w:r w:rsidR="00ED47D8" w:rsidRPr="006277B0">
        <w:t>https://www.acog.org/clinical/clinical-guidance/committee-opinion/articles/2021/03/health-care-for-transgender-and-gender-diverse-individuals</w:t>
      </w:r>
      <w:r w:rsidR="002310A9" w:rsidRPr="002310A9">
        <w:t>.</w:t>
      </w:r>
    </w:p>
    <w:bookmarkEnd w:id="14"/>
    <w:bookmarkEnd w:id="15"/>
    <w:bookmarkEnd w:id="16"/>
    <w:p w14:paraId="1544A020" w14:textId="47059A55" w:rsidR="00F924AE" w:rsidRPr="00C324CB" w:rsidRDefault="00A40FD8" w:rsidP="007953AD">
      <w:pPr>
        <w:pStyle w:val="ReferenceOrdered"/>
      </w:pPr>
      <w:r w:rsidRPr="00A40FD8">
        <w:t>NCCN Clinical Practice Guidelines in Oncology (NCCN Guidelines): Head and Neck Cancers. Version 2.202</w:t>
      </w:r>
      <w:r w:rsidR="00DB4886">
        <w:t>5</w:t>
      </w:r>
      <w:r w:rsidRPr="00A40FD8">
        <w:t>. Accessed February 15, 202</w:t>
      </w:r>
      <w:r w:rsidR="00DB4886">
        <w:t>5</w:t>
      </w:r>
      <w:r w:rsidRPr="00A40FD8">
        <w:t>. https://www.nccn.org/professionals/physician_gls/pdf/head-and-neck.pdf.</w:t>
      </w:r>
    </w:p>
    <w:sectPr w:rsidR="00F924AE" w:rsidRPr="00C324CB" w:rsidSect="00866725">
      <w:headerReference w:type="first" r:id="rId15"/>
      <w:footerReference w:type="first" r:id="rId16"/>
      <w:type w:val="continuous"/>
      <w:pgSz w:w="12240" w:h="15840" w:code="1"/>
      <w:pgMar w:top="900" w:right="720" w:bottom="990" w:left="720" w:header="720" w:footer="249"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00583" w14:textId="77777777" w:rsidR="00D72985" w:rsidRDefault="00D72985">
      <w:r>
        <w:separator/>
      </w:r>
    </w:p>
  </w:endnote>
  <w:endnote w:type="continuationSeparator" w:id="0">
    <w:p w14:paraId="0D28A10B" w14:textId="77777777" w:rsidR="00D72985" w:rsidRDefault="00D72985">
      <w:r>
        <w:continuationSeparator/>
      </w:r>
    </w:p>
  </w:endnote>
  <w:endnote w:type="continuationNotice" w:id="1">
    <w:p w14:paraId="05C9F50D" w14:textId="77777777" w:rsidR="00D72985" w:rsidRDefault="00D72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E65F299" w:rsidR="00C36B72" w:rsidRPr="00EC47B6" w:rsidRDefault="004B017F" w:rsidP="00C36B72">
    <w:pPr>
      <w:tabs>
        <w:tab w:val="right" w:pos="10710"/>
      </w:tabs>
      <w:spacing w:before="120" w:after="120"/>
      <w:rPr>
        <w:rFonts w:cs="Arial"/>
        <w:snapToGrid w:val="0"/>
        <w:color w:val="000000"/>
        <w:sz w:val="16"/>
      </w:rPr>
    </w:pPr>
    <w:r>
      <w:rPr>
        <w:rFonts w:cs="Arial"/>
        <w:snapToGrid w:val="0"/>
        <w:color w:val="000000"/>
        <w:sz w:val="16"/>
      </w:rPr>
      <w:fldChar w:fldCharType="begin"/>
    </w:r>
    <w:r>
      <w:rPr>
        <w:rFonts w:cs="Arial"/>
        <w:snapToGrid w:val="0"/>
        <w:color w:val="000000"/>
        <w:sz w:val="16"/>
      </w:rPr>
      <w:instrText xml:space="preserve"> FILENAME \* MERGEFORMAT </w:instrText>
    </w:r>
    <w:r>
      <w:rPr>
        <w:rFonts w:cs="Arial"/>
        <w:snapToGrid w:val="0"/>
        <w:color w:val="000000"/>
        <w:sz w:val="16"/>
      </w:rPr>
      <w:fldChar w:fldCharType="separate"/>
    </w:r>
    <w:r w:rsidR="00866725">
      <w:rPr>
        <w:rFonts w:cs="Arial"/>
        <w:noProof/>
        <w:snapToGrid w:val="0"/>
        <w:color w:val="000000"/>
        <w:sz w:val="16"/>
      </w:rPr>
      <w:t>Lupron Depot Endometriosis-Fibroid SGM 1970-A, 6049-A P2025.docx</w:t>
    </w:r>
    <w:r>
      <w:rPr>
        <w:rFonts w:cs="Arial"/>
        <w:snapToGrid w:val="0"/>
        <w:color w:val="000000"/>
        <w:sz w:val="16"/>
      </w:rPr>
      <w:fldChar w:fldCharType="end"/>
    </w:r>
    <w:r w:rsidR="00C36B72" w:rsidRPr="00EC47B6">
      <w:rPr>
        <w:rFonts w:cs="Arial"/>
        <w:snapToGrid w:val="0"/>
        <w:color w:val="000000"/>
        <w:sz w:val="16"/>
      </w:rPr>
      <w:tab/>
      <w:t>© 202</w:t>
    </w:r>
    <w:r>
      <w:rPr>
        <w:rFonts w:cs="Arial"/>
        <w:snapToGrid w:val="0"/>
        <w:color w:val="000000"/>
        <w:sz w:val="16"/>
      </w:rPr>
      <w:t>5</w:t>
    </w:r>
    <w:r w:rsidR="00C36B72" w:rsidRPr="00EC47B6">
      <w:rPr>
        <w:rFonts w:cs="Arial"/>
        <w:snapToGrid w:val="0"/>
        <w:color w:val="000000"/>
        <w:sz w:val="16"/>
      </w:rPr>
      <w:t xml:space="preserve"> CVS Caremark. All rights reserved.</w:t>
    </w:r>
  </w:p>
  <w:p w14:paraId="61CF5924" w14:textId="3B0C5C1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E189EA4" w:rsidR="00F75C81" w:rsidRPr="00AA1E6A" w:rsidRDefault="00C36B72" w:rsidP="006277B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BEA3558" w:rsidR="00F50D98" w:rsidRPr="00EC47B6" w:rsidRDefault="004B017F" w:rsidP="00F50D98">
    <w:pPr>
      <w:tabs>
        <w:tab w:val="right" w:pos="10710"/>
      </w:tabs>
      <w:spacing w:before="120" w:after="120"/>
      <w:rPr>
        <w:rFonts w:cs="Arial"/>
        <w:snapToGrid w:val="0"/>
        <w:color w:val="000000"/>
        <w:sz w:val="16"/>
      </w:rPr>
    </w:pPr>
    <w:r>
      <w:rPr>
        <w:rFonts w:cs="Arial"/>
        <w:snapToGrid w:val="0"/>
        <w:color w:val="000000"/>
        <w:sz w:val="16"/>
      </w:rPr>
      <w:fldChar w:fldCharType="begin"/>
    </w:r>
    <w:r>
      <w:rPr>
        <w:rFonts w:cs="Arial"/>
        <w:snapToGrid w:val="0"/>
        <w:color w:val="000000"/>
        <w:sz w:val="16"/>
      </w:rPr>
      <w:instrText xml:space="preserve"> FILENAME \* MERGEFORMAT </w:instrText>
    </w:r>
    <w:r>
      <w:rPr>
        <w:rFonts w:cs="Arial"/>
        <w:snapToGrid w:val="0"/>
        <w:color w:val="000000"/>
        <w:sz w:val="16"/>
      </w:rPr>
      <w:fldChar w:fldCharType="separate"/>
    </w:r>
    <w:r w:rsidR="00866725">
      <w:rPr>
        <w:rFonts w:cs="Arial"/>
        <w:noProof/>
        <w:snapToGrid w:val="0"/>
        <w:color w:val="000000"/>
        <w:sz w:val="16"/>
      </w:rPr>
      <w:t>Lupron Depot Endometriosis-Fibroid SGM 1970-A, 6049-A P2025.docx</w:t>
    </w:r>
    <w:r>
      <w:rPr>
        <w:rFonts w:cs="Arial"/>
        <w:snapToGrid w:val="0"/>
        <w:color w:val="000000"/>
        <w:sz w:val="16"/>
      </w:rPr>
      <w:fldChar w:fldCharType="end"/>
    </w:r>
    <w:r w:rsidR="00F50D98" w:rsidRPr="00EC47B6">
      <w:rPr>
        <w:rFonts w:cs="Arial"/>
        <w:snapToGrid w:val="0"/>
        <w:color w:val="000000"/>
        <w:sz w:val="16"/>
      </w:rPr>
      <w:tab/>
      <w:t>© 202</w:t>
    </w:r>
    <w:r>
      <w:rPr>
        <w:rFonts w:cs="Arial"/>
        <w:snapToGrid w:val="0"/>
        <w:color w:val="000000"/>
        <w:sz w:val="16"/>
      </w:rPr>
      <w:t>5</w:t>
    </w:r>
    <w:r w:rsidR="00F50D98" w:rsidRPr="00EC47B6">
      <w:rPr>
        <w:rFonts w:cs="Arial"/>
        <w:snapToGrid w:val="0"/>
        <w:color w:val="000000"/>
        <w:sz w:val="16"/>
      </w:rPr>
      <w:t xml:space="preserve"> CVS Caremark. All rights reserved.</w:t>
    </w:r>
  </w:p>
  <w:p w14:paraId="39BFE579" w14:textId="2F794F4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F6B1ACD" w:rsidR="00ED04EC" w:rsidRPr="00F50D98" w:rsidRDefault="00F50D98" w:rsidP="006277B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2A048" w14:textId="77777777" w:rsidR="00D72985" w:rsidRDefault="00D72985">
      <w:r>
        <w:separator/>
      </w:r>
    </w:p>
  </w:footnote>
  <w:footnote w:type="continuationSeparator" w:id="0">
    <w:p w14:paraId="5B6664F1" w14:textId="77777777" w:rsidR="00D72985" w:rsidRDefault="00D72985">
      <w:r>
        <w:continuationSeparator/>
      </w:r>
    </w:p>
  </w:footnote>
  <w:footnote w:type="continuationNotice" w:id="1">
    <w:p w14:paraId="3937FC72" w14:textId="77777777" w:rsidR="00D72985" w:rsidRDefault="00D729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13FCC" w:rsidRPr="00ED04EC" w14:paraId="703C6588" w14:textId="77777777" w:rsidTr="0006569F">
      <w:trPr>
        <w:trHeight w:val="378"/>
        <w:jc w:val="right"/>
      </w:trPr>
      <w:tc>
        <w:tcPr>
          <w:tcW w:w="1854" w:type="dxa"/>
          <w:hideMark/>
        </w:tcPr>
        <w:p w14:paraId="51CE3E64" w14:textId="211A2593" w:rsidR="00E13FCC" w:rsidRPr="00E13FCC" w:rsidRDefault="00E13FCC" w:rsidP="00E13FCC">
          <w:pPr>
            <w:pStyle w:val="Header"/>
            <w:rPr>
              <w:rFonts w:cs="Arial"/>
              <w:color w:val="FF0000"/>
              <w:sz w:val="16"/>
              <w:szCs w:val="16"/>
            </w:rPr>
          </w:pPr>
          <w:r w:rsidRPr="00E13FCC">
            <w:rPr>
              <w:rFonts w:cs="Arial"/>
              <w:sz w:val="16"/>
              <w:szCs w:val="16"/>
            </w:rPr>
            <w:t>1970-A, 6049-A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0F5383">
          <w:pPr>
            <w:pStyle w:val="Header"/>
            <w:rPr>
              <w:rFonts w:cs="Arial"/>
              <w:sz w:val="16"/>
              <w:szCs w:val="16"/>
            </w:rPr>
          </w:pPr>
          <w:r w:rsidRPr="004159B2">
            <w:rPr>
              <w:rFonts w:cs="Arial"/>
              <w:sz w:val="16"/>
              <w:szCs w:val="16"/>
            </w:rPr>
            <w:t>Reference number(s)</w:t>
          </w:r>
        </w:p>
      </w:tc>
    </w:tr>
    <w:tr w:rsidR="000F5383" w:rsidRPr="00ED04EC" w14:paraId="2259874D" w14:textId="77777777" w:rsidTr="00551DCD">
      <w:trPr>
        <w:trHeight w:val="378"/>
        <w:jc w:val="right"/>
      </w:trPr>
      <w:tc>
        <w:tcPr>
          <w:tcW w:w="1854" w:type="dxa"/>
          <w:hideMark/>
        </w:tcPr>
        <w:p w14:paraId="475EFE95" w14:textId="731DAE0C" w:rsidR="000F5383" w:rsidRPr="00AA1E6A" w:rsidRDefault="00581D44" w:rsidP="000F5383">
          <w:pPr>
            <w:pStyle w:val="Header"/>
            <w:rPr>
              <w:rFonts w:ascii="Arial" w:hAnsi="Arial" w:cs="Arial"/>
              <w:color w:val="FF0000"/>
              <w:sz w:val="16"/>
              <w:szCs w:val="16"/>
            </w:rPr>
          </w:pPr>
          <w:r w:rsidRPr="00E10A52">
            <w:rPr>
              <w:rFonts w:ascii="Arial" w:hAnsi="Arial" w:cs="Arial"/>
              <w:sz w:val="16"/>
              <w:szCs w:val="16"/>
            </w:rPr>
            <w:t>1970-A</w:t>
          </w:r>
          <w:r>
            <w:rPr>
              <w:rFonts w:ascii="Arial" w:hAnsi="Arial" w:cs="Arial"/>
              <w:sz w:val="16"/>
              <w:szCs w:val="16"/>
            </w:rPr>
            <w:t>, 6049-A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202CE2"/>
    <w:multiLevelType w:val="hybridMultilevel"/>
    <w:tmpl w:val="2CAA034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8326B1"/>
    <w:multiLevelType w:val="hybridMultilevel"/>
    <w:tmpl w:val="0470AB48"/>
    <w:lvl w:ilvl="0" w:tplc="6296AE68">
      <w:start w:val="1"/>
      <w:numFmt w:val="decimal"/>
      <w:pStyle w:val="ReferenceOrd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18"/>
  </w:num>
  <w:num w:numId="3" w16cid:durableId="611589570">
    <w:abstractNumId w:val="1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5"/>
  </w:num>
  <w:num w:numId="17" w16cid:durableId="2128498676">
    <w:abstractNumId w:val="19"/>
  </w:num>
  <w:num w:numId="18" w16cid:durableId="299724409">
    <w:abstractNumId w:val="17"/>
  </w:num>
  <w:num w:numId="19" w16cid:durableId="214585573">
    <w:abstractNumId w:val="14"/>
  </w:num>
  <w:num w:numId="20" w16cid:durableId="1066490929">
    <w:abstractNumId w:val="20"/>
  </w:num>
  <w:num w:numId="21" w16cid:durableId="1152134899">
    <w:abstractNumId w:val="18"/>
    <w:lvlOverride w:ilvl="0">
      <w:startOverride w:val="1"/>
    </w:lvlOverride>
  </w:num>
  <w:num w:numId="22" w16cid:durableId="1765027479">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4FE7"/>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3F4"/>
    <w:rsid w:val="00017860"/>
    <w:rsid w:val="00017EE8"/>
    <w:rsid w:val="000200D2"/>
    <w:rsid w:val="000203D2"/>
    <w:rsid w:val="00020F76"/>
    <w:rsid w:val="0002111C"/>
    <w:rsid w:val="00021628"/>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B2B"/>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4A70"/>
    <w:rsid w:val="000554ED"/>
    <w:rsid w:val="00055897"/>
    <w:rsid w:val="000561B5"/>
    <w:rsid w:val="000564BC"/>
    <w:rsid w:val="00057358"/>
    <w:rsid w:val="00057C68"/>
    <w:rsid w:val="00057CD8"/>
    <w:rsid w:val="00060959"/>
    <w:rsid w:val="000609B8"/>
    <w:rsid w:val="000609E1"/>
    <w:rsid w:val="00062816"/>
    <w:rsid w:val="0006296D"/>
    <w:rsid w:val="00064347"/>
    <w:rsid w:val="00064396"/>
    <w:rsid w:val="00065AC6"/>
    <w:rsid w:val="00066D4B"/>
    <w:rsid w:val="0006765E"/>
    <w:rsid w:val="00067732"/>
    <w:rsid w:val="0006774C"/>
    <w:rsid w:val="00070758"/>
    <w:rsid w:val="000709F1"/>
    <w:rsid w:val="00070C48"/>
    <w:rsid w:val="000717F6"/>
    <w:rsid w:val="000718AD"/>
    <w:rsid w:val="00071A7F"/>
    <w:rsid w:val="0007286F"/>
    <w:rsid w:val="00072B1D"/>
    <w:rsid w:val="000731B5"/>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3E5"/>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61F2"/>
    <w:rsid w:val="000A71EC"/>
    <w:rsid w:val="000A7D51"/>
    <w:rsid w:val="000B0C19"/>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5E46"/>
    <w:rsid w:val="0011622E"/>
    <w:rsid w:val="00117495"/>
    <w:rsid w:val="0011772F"/>
    <w:rsid w:val="001202DD"/>
    <w:rsid w:val="00121519"/>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46E16"/>
    <w:rsid w:val="00150AFC"/>
    <w:rsid w:val="00151DA8"/>
    <w:rsid w:val="00152135"/>
    <w:rsid w:val="00153164"/>
    <w:rsid w:val="00154B0F"/>
    <w:rsid w:val="00154E30"/>
    <w:rsid w:val="00155A51"/>
    <w:rsid w:val="001560C4"/>
    <w:rsid w:val="00156A50"/>
    <w:rsid w:val="00156B69"/>
    <w:rsid w:val="00156B77"/>
    <w:rsid w:val="00156E31"/>
    <w:rsid w:val="00160472"/>
    <w:rsid w:val="00162951"/>
    <w:rsid w:val="001630B4"/>
    <w:rsid w:val="00165258"/>
    <w:rsid w:val="00165670"/>
    <w:rsid w:val="00165A99"/>
    <w:rsid w:val="001675AA"/>
    <w:rsid w:val="00170325"/>
    <w:rsid w:val="0017137F"/>
    <w:rsid w:val="00173AB9"/>
    <w:rsid w:val="001747DB"/>
    <w:rsid w:val="00174F3B"/>
    <w:rsid w:val="00175B12"/>
    <w:rsid w:val="00175F8E"/>
    <w:rsid w:val="00176167"/>
    <w:rsid w:val="00176A70"/>
    <w:rsid w:val="00176E99"/>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87C67"/>
    <w:rsid w:val="00190200"/>
    <w:rsid w:val="00190EFC"/>
    <w:rsid w:val="001914C8"/>
    <w:rsid w:val="001916D1"/>
    <w:rsid w:val="00191904"/>
    <w:rsid w:val="00192769"/>
    <w:rsid w:val="001933EE"/>
    <w:rsid w:val="00193696"/>
    <w:rsid w:val="001944B7"/>
    <w:rsid w:val="0019677F"/>
    <w:rsid w:val="00196FC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8B8"/>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C7C50"/>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2BC"/>
    <w:rsid w:val="002063D0"/>
    <w:rsid w:val="00206414"/>
    <w:rsid w:val="00206DD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0A9"/>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8B8"/>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251"/>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404D"/>
    <w:rsid w:val="002A529C"/>
    <w:rsid w:val="002A5877"/>
    <w:rsid w:val="002A58FA"/>
    <w:rsid w:val="002A5B56"/>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2C8A"/>
    <w:rsid w:val="002C4044"/>
    <w:rsid w:val="002C4DE3"/>
    <w:rsid w:val="002C554A"/>
    <w:rsid w:val="002C56FC"/>
    <w:rsid w:val="002C5C53"/>
    <w:rsid w:val="002C6509"/>
    <w:rsid w:val="002C674A"/>
    <w:rsid w:val="002C69FE"/>
    <w:rsid w:val="002C6CE0"/>
    <w:rsid w:val="002C7085"/>
    <w:rsid w:val="002C71F9"/>
    <w:rsid w:val="002C7217"/>
    <w:rsid w:val="002D08E3"/>
    <w:rsid w:val="002D0E27"/>
    <w:rsid w:val="002D115E"/>
    <w:rsid w:val="002D14E1"/>
    <w:rsid w:val="002D1E70"/>
    <w:rsid w:val="002D27EE"/>
    <w:rsid w:val="002D2C61"/>
    <w:rsid w:val="002D35B0"/>
    <w:rsid w:val="002D49E5"/>
    <w:rsid w:val="002D4A0D"/>
    <w:rsid w:val="002D6257"/>
    <w:rsid w:val="002D6987"/>
    <w:rsid w:val="002E030E"/>
    <w:rsid w:val="002E06B0"/>
    <w:rsid w:val="002E080B"/>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E90"/>
    <w:rsid w:val="002F5F01"/>
    <w:rsid w:val="002F6300"/>
    <w:rsid w:val="0030016D"/>
    <w:rsid w:val="00301F62"/>
    <w:rsid w:val="00302DBD"/>
    <w:rsid w:val="003030D7"/>
    <w:rsid w:val="00304C49"/>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B64"/>
    <w:rsid w:val="00322EB1"/>
    <w:rsid w:val="00323534"/>
    <w:rsid w:val="003242E2"/>
    <w:rsid w:val="003254F4"/>
    <w:rsid w:val="00325919"/>
    <w:rsid w:val="003262EA"/>
    <w:rsid w:val="0032667A"/>
    <w:rsid w:val="0032670A"/>
    <w:rsid w:val="00326990"/>
    <w:rsid w:val="00327428"/>
    <w:rsid w:val="00327C29"/>
    <w:rsid w:val="003303C4"/>
    <w:rsid w:val="00330E29"/>
    <w:rsid w:val="003319A7"/>
    <w:rsid w:val="00332104"/>
    <w:rsid w:val="00332261"/>
    <w:rsid w:val="0033231E"/>
    <w:rsid w:val="0033351E"/>
    <w:rsid w:val="00333878"/>
    <w:rsid w:val="00333FEE"/>
    <w:rsid w:val="00334F6B"/>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45B"/>
    <w:rsid w:val="0037664E"/>
    <w:rsid w:val="003777A6"/>
    <w:rsid w:val="00377D50"/>
    <w:rsid w:val="00381B05"/>
    <w:rsid w:val="00381B16"/>
    <w:rsid w:val="0038248C"/>
    <w:rsid w:val="00382C29"/>
    <w:rsid w:val="00382C85"/>
    <w:rsid w:val="0038309E"/>
    <w:rsid w:val="00384D85"/>
    <w:rsid w:val="0038594B"/>
    <w:rsid w:val="00385C81"/>
    <w:rsid w:val="00386A36"/>
    <w:rsid w:val="00386F82"/>
    <w:rsid w:val="00387535"/>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97D14"/>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D8D"/>
    <w:rsid w:val="003C6EB7"/>
    <w:rsid w:val="003C6ED6"/>
    <w:rsid w:val="003C7530"/>
    <w:rsid w:val="003D0BBA"/>
    <w:rsid w:val="003D16A3"/>
    <w:rsid w:val="003D1B9C"/>
    <w:rsid w:val="003D1FBC"/>
    <w:rsid w:val="003D240A"/>
    <w:rsid w:val="003D2BE7"/>
    <w:rsid w:val="003D2E4B"/>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0C9"/>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58A"/>
    <w:rsid w:val="00430B2F"/>
    <w:rsid w:val="00431634"/>
    <w:rsid w:val="00431A2D"/>
    <w:rsid w:val="00431D2B"/>
    <w:rsid w:val="00431EB7"/>
    <w:rsid w:val="00433A31"/>
    <w:rsid w:val="00433E3A"/>
    <w:rsid w:val="00433EE2"/>
    <w:rsid w:val="004344F0"/>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08"/>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B0D"/>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8E7"/>
    <w:rsid w:val="00475CB4"/>
    <w:rsid w:val="00475D6D"/>
    <w:rsid w:val="004763E4"/>
    <w:rsid w:val="00476490"/>
    <w:rsid w:val="0047697B"/>
    <w:rsid w:val="00476C5C"/>
    <w:rsid w:val="00477751"/>
    <w:rsid w:val="00480100"/>
    <w:rsid w:val="00480B9F"/>
    <w:rsid w:val="00481302"/>
    <w:rsid w:val="00481604"/>
    <w:rsid w:val="00482364"/>
    <w:rsid w:val="00482B30"/>
    <w:rsid w:val="00482C95"/>
    <w:rsid w:val="00482F0D"/>
    <w:rsid w:val="00483550"/>
    <w:rsid w:val="004837DF"/>
    <w:rsid w:val="0048493C"/>
    <w:rsid w:val="004849F7"/>
    <w:rsid w:val="0048525A"/>
    <w:rsid w:val="00485608"/>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198"/>
    <w:rsid w:val="004A5DC0"/>
    <w:rsid w:val="004A603F"/>
    <w:rsid w:val="004A64E5"/>
    <w:rsid w:val="004A6AB4"/>
    <w:rsid w:val="004A7239"/>
    <w:rsid w:val="004A75B0"/>
    <w:rsid w:val="004A78CD"/>
    <w:rsid w:val="004A7A22"/>
    <w:rsid w:val="004B017F"/>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6728"/>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D70"/>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09B"/>
    <w:rsid w:val="00552A6C"/>
    <w:rsid w:val="00552AD2"/>
    <w:rsid w:val="005539ED"/>
    <w:rsid w:val="00553C00"/>
    <w:rsid w:val="00554C8D"/>
    <w:rsid w:val="005553FE"/>
    <w:rsid w:val="005555FB"/>
    <w:rsid w:val="0055641E"/>
    <w:rsid w:val="00556A6F"/>
    <w:rsid w:val="0055710E"/>
    <w:rsid w:val="00560433"/>
    <w:rsid w:val="00560464"/>
    <w:rsid w:val="00560623"/>
    <w:rsid w:val="0056090D"/>
    <w:rsid w:val="005615E4"/>
    <w:rsid w:val="005617A0"/>
    <w:rsid w:val="00563842"/>
    <w:rsid w:val="00563B4D"/>
    <w:rsid w:val="00563CD8"/>
    <w:rsid w:val="005648F5"/>
    <w:rsid w:val="00564B99"/>
    <w:rsid w:val="00564D4C"/>
    <w:rsid w:val="00564E51"/>
    <w:rsid w:val="00565367"/>
    <w:rsid w:val="00565A82"/>
    <w:rsid w:val="00565D50"/>
    <w:rsid w:val="005660B5"/>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1D44"/>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04ED"/>
    <w:rsid w:val="0059101B"/>
    <w:rsid w:val="00592474"/>
    <w:rsid w:val="0059286F"/>
    <w:rsid w:val="00592BC7"/>
    <w:rsid w:val="00592F54"/>
    <w:rsid w:val="00593641"/>
    <w:rsid w:val="00593EBB"/>
    <w:rsid w:val="0059401C"/>
    <w:rsid w:val="005947D7"/>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AB"/>
    <w:rsid w:val="005C44D1"/>
    <w:rsid w:val="005C52A6"/>
    <w:rsid w:val="005C52F9"/>
    <w:rsid w:val="005C6812"/>
    <w:rsid w:val="005C6D2C"/>
    <w:rsid w:val="005C778C"/>
    <w:rsid w:val="005C7E7D"/>
    <w:rsid w:val="005D0CD7"/>
    <w:rsid w:val="005D0ED8"/>
    <w:rsid w:val="005D14DC"/>
    <w:rsid w:val="005D154E"/>
    <w:rsid w:val="005D1B57"/>
    <w:rsid w:val="005D23B7"/>
    <w:rsid w:val="005D2C56"/>
    <w:rsid w:val="005D2E4C"/>
    <w:rsid w:val="005D3FE0"/>
    <w:rsid w:val="005D47B9"/>
    <w:rsid w:val="005D5FBB"/>
    <w:rsid w:val="005D7081"/>
    <w:rsid w:val="005D72EF"/>
    <w:rsid w:val="005D7947"/>
    <w:rsid w:val="005D7EA2"/>
    <w:rsid w:val="005E09D6"/>
    <w:rsid w:val="005E0BD2"/>
    <w:rsid w:val="005E1266"/>
    <w:rsid w:val="005E3C25"/>
    <w:rsid w:val="005E4938"/>
    <w:rsid w:val="005E5674"/>
    <w:rsid w:val="005E5872"/>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76C"/>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6E3E"/>
    <w:rsid w:val="006277B0"/>
    <w:rsid w:val="006278F4"/>
    <w:rsid w:val="00627B98"/>
    <w:rsid w:val="00631305"/>
    <w:rsid w:val="00631F71"/>
    <w:rsid w:val="006328A6"/>
    <w:rsid w:val="0063336C"/>
    <w:rsid w:val="00633471"/>
    <w:rsid w:val="006334FF"/>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4C46"/>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1A"/>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B6B"/>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A7D06"/>
    <w:rsid w:val="006B01F7"/>
    <w:rsid w:val="006B33B8"/>
    <w:rsid w:val="006B34B3"/>
    <w:rsid w:val="006B371D"/>
    <w:rsid w:val="006B4156"/>
    <w:rsid w:val="006B556B"/>
    <w:rsid w:val="006B5AAA"/>
    <w:rsid w:val="006B5DBA"/>
    <w:rsid w:val="006B65A1"/>
    <w:rsid w:val="006B6AB6"/>
    <w:rsid w:val="006B717C"/>
    <w:rsid w:val="006B732C"/>
    <w:rsid w:val="006C05C5"/>
    <w:rsid w:val="006C0803"/>
    <w:rsid w:val="006C093D"/>
    <w:rsid w:val="006C163A"/>
    <w:rsid w:val="006C1D68"/>
    <w:rsid w:val="006C3252"/>
    <w:rsid w:val="006C48F6"/>
    <w:rsid w:val="006C519A"/>
    <w:rsid w:val="006C52D4"/>
    <w:rsid w:val="006C5786"/>
    <w:rsid w:val="006C584B"/>
    <w:rsid w:val="006C6476"/>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FDD"/>
    <w:rsid w:val="006E28B1"/>
    <w:rsid w:val="006E3E7B"/>
    <w:rsid w:val="006E3F80"/>
    <w:rsid w:val="006E423D"/>
    <w:rsid w:val="006E4C56"/>
    <w:rsid w:val="006E53FA"/>
    <w:rsid w:val="006E540C"/>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5CD"/>
    <w:rsid w:val="0071293E"/>
    <w:rsid w:val="0071294F"/>
    <w:rsid w:val="00712EA4"/>
    <w:rsid w:val="00712F85"/>
    <w:rsid w:val="00714B4F"/>
    <w:rsid w:val="007150E9"/>
    <w:rsid w:val="00715ACF"/>
    <w:rsid w:val="007161D0"/>
    <w:rsid w:val="0071624D"/>
    <w:rsid w:val="007162FB"/>
    <w:rsid w:val="0071686F"/>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2B89"/>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2AB1"/>
    <w:rsid w:val="00773060"/>
    <w:rsid w:val="00773513"/>
    <w:rsid w:val="0077365E"/>
    <w:rsid w:val="007741BD"/>
    <w:rsid w:val="0077473F"/>
    <w:rsid w:val="00775A4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3AD"/>
    <w:rsid w:val="00795B5C"/>
    <w:rsid w:val="00796193"/>
    <w:rsid w:val="007963DF"/>
    <w:rsid w:val="00796772"/>
    <w:rsid w:val="00796F80"/>
    <w:rsid w:val="00797128"/>
    <w:rsid w:val="00797531"/>
    <w:rsid w:val="007A05B6"/>
    <w:rsid w:val="007A141E"/>
    <w:rsid w:val="007A1AA9"/>
    <w:rsid w:val="007A3667"/>
    <w:rsid w:val="007A4DF2"/>
    <w:rsid w:val="007A56B7"/>
    <w:rsid w:val="007A5CEC"/>
    <w:rsid w:val="007A61F8"/>
    <w:rsid w:val="007A7386"/>
    <w:rsid w:val="007A760D"/>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324"/>
    <w:rsid w:val="007D5505"/>
    <w:rsid w:val="007D5B5D"/>
    <w:rsid w:val="007D68CB"/>
    <w:rsid w:val="007D7A1C"/>
    <w:rsid w:val="007D7D7B"/>
    <w:rsid w:val="007D7FE6"/>
    <w:rsid w:val="007E00AB"/>
    <w:rsid w:val="007E01A4"/>
    <w:rsid w:val="007E03EC"/>
    <w:rsid w:val="007E0581"/>
    <w:rsid w:val="007E0BF0"/>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39CA"/>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6095"/>
    <w:rsid w:val="008571AA"/>
    <w:rsid w:val="00860962"/>
    <w:rsid w:val="00860CBD"/>
    <w:rsid w:val="00860E69"/>
    <w:rsid w:val="00861CA3"/>
    <w:rsid w:val="00861DD6"/>
    <w:rsid w:val="00861F40"/>
    <w:rsid w:val="00863211"/>
    <w:rsid w:val="00863541"/>
    <w:rsid w:val="008646F4"/>
    <w:rsid w:val="00864778"/>
    <w:rsid w:val="00866725"/>
    <w:rsid w:val="00866B5D"/>
    <w:rsid w:val="00866BCA"/>
    <w:rsid w:val="00866CFE"/>
    <w:rsid w:val="00871B95"/>
    <w:rsid w:val="008728CD"/>
    <w:rsid w:val="00873215"/>
    <w:rsid w:val="008733E5"/>
    <w:rsid w:val="0087374A"/>
    <w:rsid w:val="00873CA8"/>
    <w:rsid w:val="00874174"/>
    <w:rsid w:val="008741C9"/>
    <w:rsid w:val="00874DFD"/>
    <w:rsid w:val="0087515C"/>
    <w:rsid w:val="00875651"/>
    <w:rsid w:val="00875717"/>
    <w:rsid w:val="0087645A"/>
    <w:rsid w:val="008773AC"/>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4FDF"/>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0FA"/>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2477"/>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27D45"/>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553A"/>
    <w:rsid w:val="00947FC1"/>
    <w:rsid w:val="00950C16"/>
    <w:rsid w:val="009517E1"/>
    <w:rsid w:val="00951B46"/>
    <w:rsid w:val="009533D9"/>
    <w:rsid w:val="0095377B"/>
    <w:rsid w:val="00953D64"/>
    <w:rsid w:val="00953F93"/>
    <w:rsid w:val="009542EA"/>
    <w:rsid w:val="00954B47"/>
    <w:rsid w:val="0095537A"/>
    <w:rsid w:val="009559E0"/>
    <w:rsid w:val="00955A80"/>
    <w:rsid w:val="00956257"/>
    <w:rsid w:val="00956B1E"/>
    <w:rsid w:val="00957080"/>
    <w:rsid w:val="00957439"/>
    <w:rsid w:val="009576D1"/>
    <w:rsid w:val="009578A4"/>
    <w:rsid w:val="0096131B"/>
    <w:rsid w:val="00961529"/>
    <w:rsid w:val="00961854"/>
    <w:rsid w:val="00962152"/>
    <w:rsid w:val="009625E8"/>
    <w:rsid w:val="0096364A"/>
    <w:rsid w:val="00963AA8"/>
    <w:rsid w:val="00963D8C"/>
    <w:rsid w:val="00963F51"/>
    <w:rsid w:val="00964BA2"/>
    <w:rsid w:val="009665E3"/>
    <w:rsid w:val="0096660A"/>
    <w:rsid w:val="00967295"/>
    <w:rsid w:val="00967BB3"/>
    <w:rsid w:val="00967BFF"/>
    <w:rsid w:val="009708F2"/>
    <w:rsid w:val="00970D2C"/>
    <w:rsid w:val="00971292"/>
    <w:rsid w:val="00971AAF"/>
    <w:rsid w:val="00971F37"/>
    <w:rsid w:val="0097206A"/>
    <w:rsid w:val="00972284"/>
    <w:rsid w:val="00972286"/>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15DD"/>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AE9"/>
    <w:rsid w:val="009C3C50"/>
    <w:rsid w:val="009C4B9D"/>
    <w:rsid w:val="009C4E1E"/>
    <w:rsid w:val="009C595B"/>
    <w:rsid w:val="009C6673"/>
    <w:rsid w:val="009C6CB5"/>
    <w:rsid w:val="009C6CFE"/>
    <w:rsid w:val="009C7D3E"/>
    <w:rsid w:val="009D0B0C"/>
    <w:rsid w:val="009D0C37"/>
    <w:rsid w:val="009D2D63"/>
    <w:rsid w:val="009D4279"/>
    <w:rsid w:val="009D60F4"/>
    <w:rsid w:val="009D6686"/>
    <w:rsid w:val="009D6C0F"/>
    <w:rsid w:val="009D6D3D"/>
    <w:rsid w:val="009D7037"/>
    <w:rsid w:val="009D71AB"/>
    <w:rsid w:val="009D72AF"/>
    <w:rsid w:val="009D7595"/>
    <w:rsid w:val="009D7679"/>
    <w:rsid w:val="009D7C0C"/>
    <w:rsid w:val="009D7F0B"/>
    <w:rsid w:val="009E1B60"/>
    <w:rsid w:val="009E20EB"/>
    <w:rsid w:val="009E385D"/>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0FD8"/>
    <w:rsid w:val="00A412F8"/>
    <w:rsid w:val="00A41637"/>
    <w:rsid w:val="00A41972"/>
    <w:rsid w:val="00A41BCD"/>
    <w:rsid w:val="00A41D75"/>
    <w:rsid w:val="00A43152"/>
    <w:rsid w:val="00A44E8E"/>
    <w:rsid w:val="00A45E92"/>
    <w:rsid w:val="00A46BED"/>
    <w:rsid w:val="00A46FB9"/>
    <w:rsid w:val="00A47199"/>
    <w:rsid w:val="00A501AC"/>
    <w:rsid w:val="00A503F6"/>
    <w:rsid w:val="00A50452"/>
    <w:rsid w:val="00A508DC"/>
    <w:rsid w:val="00A511FF"/>
    <w:rsid w:val="00A51559"/>
    <w:rsid w:val="00A51681"/>
    <w:rsid w:val="00A51EB0"/>
    <w:rsid w:val="00A52861"/>
    <w:rsid w:val="00A52A2C"/>
    <w:rsid w:val="00A53FA3"/>
    <w:rsid w:val="00A548C6"/>
    <w:rsid w:val="00A54C2F"/>
    <w:rsid w:val="00A55507"/>
    <w:rsid w:val="00A57245"/>
    <w:rsid w:val="00A6026F"/>
    <w:rsid w:val="00A60656"/>
    <w:rsid w:val="00A614D8"/>
    <w:rsid w:val="00A61592"/>
    <w:rsid w:val="00A618ED"/>
    <w:rsid w:val="00A61B9A"/>
    <w:rsid w:val="00A61E26"/>
    <w:rsid w:val="00A61FC3"/>
    <w:rsid w:val="00A63F33"/>
    <w:rsid w:val="00A64DB7"/>
    <w:rsid w:val="00A655D6"/>
    <w:rsid w:val="00A656CE"/>
    <w:rsid w:val="00A661A9"/>
    <w:rsid w:val="00A66B5B"/>
    <w:rsid w:val="00A66E07"/>
    <w:rsid w:val="00A67075"/>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493E"/>
    <w:rsid w:val="00AB5F0B"/>
    <w:rsid w:val="00AB6199"/>
    <w:rsid w:val="00AB67A6"/>
    <w:rsid w:val="00AB6C64"/>
    <w:rsid w:val="00AB7A2F"/>
    <w:rsid w:val="00AB7A61"/>
    <w:rsid w:val="00AB7AED"/>
    <w:rsid w:val="00AC0183"/>
    <w:rsid w:val="00AC04B1"/>
    <w:rsid w:val="00AC0698"/>
    <w:rsid w:val="00AC1ACC"/>
    <w:rsid w:val="00AC2242"/>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48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2FEA"/>
    <w:rsid w:val="00B33563"/>
    <w:rsid w:val="00B3404B"/>
    <w:rsid w:val="00B34094"/>
    <w:rsid w:val="00B343F3"/>
    <w:rsid w:val="00B34FE4"/>
    <w:rsid w:val="00B36321"/>
    <w:rsid w:val="00B40FC0"/>
    <w:rsid w:val="00B41B46"/>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880"/>
    <w:rsid w:val="00B63FDB"/>
    <w:rsid w:val="00B648B6"/>
    <w:rsid w:val="00B64967"/>
    <w:rsid w:val="00B65538"/>
    <w:rsid w:val="00B65A18"/>
    <w:rsid w:val="00B65F8B"/>
    <w:rsid w:val="00B6611D"/>
    <w:rsid w:val="00B66383"/>
    <w:rsid w:val="00B66799"/>
    <w:rsid w:val="00B66D30"/>
    <w:rsid w:val="00B67932"/>
    <w:rsid w:val="00B67D19"/>
    <w:rsid w:val="00B70163"/>
    <w:rsid w:val="00B70562"/>
    <w:rsid w:val="00B706AF"/>
    <w:rsid w:val="00B7134B"/>
    <w:rsid w:val="00B71665"/>
    <w:rsid w:val="00B72331"/>
    <w:rsid w:val="00B725FA"/>
    <w:rsid w:val="00B72DFD"/>
    <w:rsid w:val="00B73BA9"/>
    <w:rsid w:val="00B73FA7"/>
    <w:rsid w:val="00B74318"/>
    <w:rsid w:val="00B76A92"/>
    <w:rsid w:val="00B76BCF"/>
    <w:rsid w:val="00B76C81"/>
    <w:rsid w:val="00B776FF"/>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53C1"/>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0C91"/>
    <w:rsid w:val="00BC2111"/>
    <w:rsid w:val="00BC25DF"/>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31C"/>
    <w:rsid w:val="00BD672B"/>
    <w:rsid w:val="00BD6ED4"/>
    <w:rsid w:val="00BE06B9"/>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22A"/>
    <w:rsid w:val="00C007A6"/>
    <w:rsid w:val="00C00D6D"/>
    <w:rsid w:val="00C00DBA"/>
    <w:rsid w:val="00C00FFE"/>
    <w:rsid w:val="00C01BFA"/>
    <w:rsid w:val="00C01C2E"/>
    <w:rsid w:val="00C024FD"/>
    <w:rsid w:val="00C02901"/>
    <w:rsid w:val="00C02F81"/>
    <w:rsid w:val="00C03759"/>
    <w:rsid w:val="00C04410"/>
    <w:rsid w:val="00C04991"/>
    <w:rsid w:val="00C04C79"/>
    <w:rsid w:val="00C05AC4"/>
    <w:rsid w:val="00C05F90"/>
    <w:rsid w:val="00C06539"/>
    <w:rsid w:val="00C100F8"/>
    <w:rsid w:val="00C101CF"/>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1FD3"/>
    <w:rsid w:val="00C2220A"/>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4CB"/>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2F"/>
    <w:rsid w:val="00C40AD3"/>
    <w:rsid w:val="00C4102F"/>
    <w:rsid w:val="00C418ED"/>
    <w:rsid w:val="00C41AFE"/>
    <w:rsid w:val="00C41DCD"/>
    <w:rsid w:val="00C41E20"/>
    <w:rsid w:val="00C434A1"/>
    <w:rsid w:val="00C43760"/>
    <w:rsid w:val="00C43890"/>
    <w:rsid w:val="00C43D1B"/>
    <w:rsid w:val="00C44990"/>
    <w:rsid w:val="00C44DB8"/>
    <w:rsid w:val="00C46786"/>
    <w:rsid w:val="00C46C79"/>
    <w:rsid w:val="00C50021"/>
    <w:rsid w:val="00C50045"/>
    <w:rsid w:val="00C50267"/>
    <w:rsid w:val="00C50446"/>
    <w:rsid w:val="00C50514"/>
    <w:rsid w:val="00C50EAF"/>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6D"/>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67B"/>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0EBB"/>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912"/>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0CBE"/>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07A"/>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985"/>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24D"/>
    <w:rsid w:val="00DA05D5"/>
    <w:rsid w:val="00DA0924"/>
    <w:rsid w:val="00DA0A71"/>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4886"/>
    <w:rsid w:val="00DB5750"/>
    <w:rsid w:val="00DB5FB0"/>
    <w:rsid w:val="00DB6293"/>
    <w:rsid w:val="00DB6413"/>
    <w:rsid w:val="00DB6BF1"/>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930"/>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D69"/>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1839"/>
    <w:rsid w:val="00E12598"/>
    <w:rsid w:val="00E13FCC"/>
    <w:rsid w:val="00E13FD8"/>
    <w:rsid w:val="00E1542D"/>
    <w:rsid w:val="00E159FD"/>
    <w:rsid w:val="00E15EC4"/>
    <w:rsid w:val="00E165CF"/>
    <w:rsid w:val="00E166ED"/>
    <w:rsid w:val="00E1699F"/>
    <w:rsid w:val="00E20E34"/>
    <w:rsid w:val="00E21296"/>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1627"/>
    <w:rsid w:val="00E4269F"/>
    <w:rsid w:val="00E43125"/>
    <w:rsid w:val="00E434A7"/>
    <w:rsid w:val="00E43709"/>
    <w:rsid w:val="00E4431D"/>
    <w:rsid w:val="00E44621"/>
    <w:rsid w:val="00E446A5"/>
    <w:rsid w:val="00E449A7"/>
    <w:rsid w:val="00E451A9"/>
    <w:rsid w:val="00E45C1A"/>
    <w:rsid w:val="00E4640D"/>
    <w:rsid w:val="00E46738"/>
    <w:rsid w:val="00E46A0A"/>
    <w:rsid w:val="00E4795D"/>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A6B"/>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852"/>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47D8"/>
    <w:rsid w:val="00ED6038"/>
    <w:rsid w:val="00ED653F"/>
    <w:rsid w:val="00ED6550"/>
    <w:rsid w:val="00ED748E"/>
    <w:rsid w:val="00ED7D4A"/>
    <w:rsid w:val="00EE02E3"/>
    <w:rsid w:val="00EE07BA"/>
    <w:rsid w:val="00EE0D34"/>
    <w:rsid w:val="00EE1515"/>
    <w:rsid w:val="00EE23F8"/>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5B7D"/>
    <w:rsid w:val="00EF6278"/>
    <w:rsid w:val="00EF7611"/>
    <w:rsid w:val="00EF7741"/>
    <w:rsid w:val="00EF78D0"/>
    <w:rsid w:val="00EF7C69"/>
    <w:rsid w:val="00F00080"/>
    <w:rsid w:val="00F00778"/>
    <w:rsid w:val="00F01821"/>
    <w:rsid w:val="00F01D9B"/>
    <w:rsid w:val="00F043C9"/>
    <w:rsid w:val="00F04FA6"/>
    <w:rsid w:val="00F0554B"/>
    <w:rsid w:val="00F05ED9"/>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A40"/>
    <w:rsid w:val="00F14B6C"/>
    <w:rsid w:val="00F15545"/>
    <w:rsid w:val="00F16EAA"/>
    <w:rsid w:val="00F1748F"/>
    <w:rsid w:val="00F17594"/>
    <w:rsid w:val="00F17E4B"/>
    <w:rsid w:val="00F2074F"/>
    <w:rsid w:val="00F21166"/>
    <w:rsid w:val="00F21995"/>
    <w:rsid w:val="00F21B41"/>
    <w:rsid w:val="00F21E09"/>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5E96"/>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4B5F"/>
    <w:rsid w:val="00F859EC"/>
    <w:rsid w:val="00F85AEE"/>
    <w:rsid w:val="00F863D0"/>
    <w:rsid w:val="00F864AB"/>
    <w:rsid w:val="00F86554"/>
    <w:rsid w:val="00F87688"/>
    <w:rsid w:val="00F877F0"/>
    <w:rsid w:val="00F87ECD"/>
    <w:rsid w:val="00F9028E"/>
    <w:rsid w:val="00F9171E"/>
    <w:rsid w:val="00F91899"/>
    <w:rsid w:val="00F92268"/>
    <w:rsid w:val="00F924AE"/>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619"/>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4E9A"/>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6BC8"/>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EDC"/>
    <w:rsid w:val="00FF2F94"/>
    <w:rsid w:val="00FF35C5"/>
    <w:rsid w:val="00FF37B2"/>
    <w:rsid w:val="00FF530E"/>
    <w:rsid w:val="00FF5C3C"/>
    <w:rsid w:val="00FF6F93"/>
    <w:rsid w:val="00FF7695"/>
    <w:rsid w:val="1B0C3EC1"/>
    <w:rsid w:val="1F6E5443"/>
    <w:rsid w:val="29729D5D"/>
    <w:rsid w:val="376440CD"/>
    <w:rsid w:val="3EA3EEA9"/>
    <w:rsid w:val="478F0B5A"/>
    <w:rsid w:val="4C2C57DB"/>
    <w:rsid w:val="59FEB48C"/>
    <w:rsid w:val="62C780E2"/>
    <w:rsid w:val="6D1DC6A4"/>
    <w:rsid w:val="73E64590"/>
    <w:rsid w:val="793CAC84"/>
    <w:rsid w:val="79F36F36"/>
    <w:rsid w:val="7DCA7F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character" w:customStyle="1" w:styleId="nlmarticle-title">
    <w:name w:val="nlm_article-title"/>
    <w:basedOn w:val="DefaultParagraphFont"/>
    <w:rsid w:val="00115E46"/>
  </w:style>
  <w:style w:type="character" w:customStyle="1" w:styleId="nlmyear">
    <w:name w:val="nlm_year"/>
    <w:basedOn w:val="DefaultParagraphFont"/>
    <w:rsid w:val="00115E46"/>
  </w:style>
  <w:style w:type="character" w:customStyle="1" w:styleId="nlmfpage">
    <w:name w:val="nlm_fpage"/>
    <w:basedOn w:val="DefaultParagraphFont"/>
    <w:rsid w:val="00115E46"/>
  </w:style>
  <w:style w:type="character" w:customStyle="1" w:styleId="nlmlpage">
    <w:name w:val="nlm_lpage"/>
    <w:basedOn w:val="DefaultParagraphFont"/>
    <w:rsid w:val="00115E46"/>
  </w:style>
  <w:style w:type="paragraph" w:customStyle="1" w:styleId="pf1">
    <w:name w:val="pf1"/>
    <w:basedOn w:val="Normal"/>
    <w:rsid w:val="009C3AE9"/>
    <w:pPr>
      <w:spacing w:before="100" w:beforeAutospacing="1" w:after="100" w:afterAutospacing="1"/>
      <w:ind w:left="1440"/>
    </w:pPr>
    <w:rPr>
      <w:rFonts w:ascii="Times New Roman" w:hAnsi="Times New Roman"/>
      <w:sz w:val="24"/>
      <w:szCs w:val="24"/>
    </w:rPr>
  </w:style>
  <w:style w:type="paragraph" w:customStyle="1" w:styleId="pf2">
    <w:name w:val="pf2"/>
    <w:basedOn w:val="Normal"/>
    <w:rsid w:val="009C3AE9"/>
    <w:pPr>
      <w:spacing w:before="100" w:beforeAutospacing="1" w:after="100" w:afterAutospacing="1"/>
      <w:ind w:left="1800"/>
    </w:pPr>
    <w:rPr>
      <w:rFonts w:ascii="Times New Roman" w:hAnsi="Times New Roman"/>
      <w:sz w:val="24"/>
      <w:szCs w:val="24"/>
    </w:rPr>
  </w:style>
  <w:style w:type="paragraph" w:customStyle="1" w:styleId="pf3">
    <w:name w:val="pf3"/>
    <w:basedOn w:val="Normal"/>
    <w:rsid w:val="009C3AE9"/>
    <w:pPr>
      <w:spacing w:before="100" w:beforeAutospacing="1" w:after="100" w:afterAutospacing="1"/>
      <w:ind w:left="1440"/>
    </w:pPr>
    <w:rPr>
      <w:rFonts w:ascii="Times New Roman" w:hAnsi="Times New Roman"/>
      <w:sz w:val="24"/>
      <w:szCs w:val="24"/>
    </w:rPr>
  </w:style>
  <w:style w:type="paragraph" w:customStyle="1" w:styleId="pf4">
    <w:name w:val="pf4"/>
    <w:basedOn w:val="Normal"/>
    <w:rsid w:val="009C3AE9"/>
    <w:pPr>
      <w:spacing w:before="100" w:beforeAutospacing="1" w:after="100" w:afterAutospacing="1"/>
      <w:ind w:left="1800"/>
    </w:pPr>
    <w:rPr>
      <w:rFonts w:ascii="Times New Roman" w:hAnsi="Times New Roman"/>
      <w:sz w:val="24"/>
      <w:szCs w:val="24"/>
    </w:rPr>
  </w:style>
  <w:style w:type="paragraph" w:customStyle="1" w:styleId="pf0">
    <w:name w:val="pf0"/>
    <w:basedOn w:val="Normal"/>
    <w:rsid w:val="009C3AE9"/>
    <w:pPr>
      <w:spacing w:before="100" w:beforeAutospacing="1" w:after="100" w:afterAutospacing="1"/>
    </w:pPr>
    <w:rPr>
      <w:rFonts w:ascii="Times New Roman" w:hAnsi="Times New Roman"/>
      <w:sz w:val="24"/>
      <w:szCs w:val="24"/>
    </w:rPr>
  </w:style>
  <w:style w:type="character" w:customStyle="1" w:styleId="cf01">
    <w:name w:val="cf01"/>
    <w:basedOn w:val="DefaultParagraphFont"/>
    <w:rsid w:val="009C3AE9"/>
    <w:rPr>
      <w:rFonts w:ascii="Segoe UI" w:hAnsi="Segoe UI" w:cs="Segoe UI" w:hint="default"/>
      <w:b/>
      <w:bCs/>
      <w:sz w:val="18"/>
      <w:szCs w:val="18"/>
    </w:rPr>
  </w:style>
  <w:style w:type="character" w:customStyle="1" w:styleId="cf11">
    <w:name w:val="cf11"/>
    <w:basedOn w:val="DefaultParagraphFont"/>
    <w:rsid w:val="009C3AE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0702499">
      <w:bodyDiv w:val="1"/>
      <w:marLeft w:val="0"/>
      <w:marRight w:val="0"/>
      <w:marTop w:val="0"/>
      <w:marBottom w:val="0"/>
      <w:divBdr>
        <w:top w:val="none" w:sz="0" w:space="0" w:color="auto"/>
        <w:left w:val="none" w:sz="0" w:space="0" w:color="auto"/>
        <w:bottom w:val="none" w:sz="0" w:space="0" w:color="auto"/>
        <w:right w:val="none" w:sz="0" w:space="0" w:color="auto"/>
      </w:divBdr>
      <w:divsChild>
        <w:div w:id="1633827370">
          <w:marLeft w:val="0"/>
          <w:marRight w:val="0"/>
          <w:marTop w:val="0"/>
          <w:marBottom w:val="0"/>
          <w:divBdr>
            <w:top w:val="none" w:sz="0" w:space="0" w:color="auto"/>
            <w:left w:val="none" w:sz="0" w:space="0" w:color="auto"/>
            <w:bottom w:val="none" w:sz="0" w:space="0" w:color="auto"/>
            <w:right w:val="none" w:sz="0" w:space="0" w:color="auto"/>
          </w:divBdr>
        </w:div>
        <w:div w:id="1948195880">
          <w:marLeft w:val="0"/>
          <w:marRight w:val="0"/>
          <w:marTop w:val="0"/>
          <w:marBottom w:val="0"/>
          <w:divBdr>
            <w:top w:val="none" w:sz="0" w:space="0" w:color="auto"/>
            <w:left w:val="none" w:sz="0" w:space="0" w:color="auto"/>
            <w:bottom w:val="none" w:sz="0" w:space="0" w:color="auto"/>
            <w:right w:val="none" w:sz="0" w:space="0" w:color="auto"/>
          </w:divBdr>
        </w:div>
      </w:divsChild>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2253499">
      <w:bodyDiv w:val="1"/>
      <w:marLeft w:val="0"/>
      <w:marRight w:val="0"/>
      <w:marTop w:val="0"/>
      <w:marBottom w:val="0"/>
      <w:divBdr>
        <w:top w:val="none" w:sz="0" w:space="0" w:color="auto"/>
        <w:left w:val="none" w:sz="0" w:space="0" w:color="auto"/>
        <w:bottom w:val="none" w:sz="0" w:space="0" w:color="auto"/>
        <w:right w:val="none" w:sz="0" w:space="0" w:color="auto"/>
      </w:divBdr>
      <w:divsChild>
        <w:div w:id="1594850720">
          <w:marLeft w:val="0"/>
          <w:marRight w:val="0"/>
          <w:marTop w:val="0"/>
          <w:marBottom w:val="0"/>
          <w:divBdr>
            <w:top w:val="none" w:sz="0" w:space="0" w:color="auto"/>
            <w:left w:val="none" w:sz="0" w:space="0" w:color="auto"/>
            <w:bottom w:val="none" w:sz="0" w:space="0" w:color="auto"/>
            <w:right w:val="none" w:sz="0" w:space="0" w:color="auto"/>
          </w:divBdr>
        </w:div>
        <w:div w:id="1381395951">
          <w:marLeft w:val="0"/>
          <w:marRight w:val="0"/>
          <w:marTop w:val="0"/>
          <w:marBottom w:val="0"/>
          <w:divBdr>
            <w:top w:val="none" w:sz="0" w:space="0" w:color="auto"/>
            <w:left w:val="none" w:sz="0" w:space="0" w:color="auto"/>
            <w:bottom w:val="none" w:sz="0" w:space="0" w:color="auto"/>
            <w:right w:val="none" w:sz="0" w:space="0" w:color="auto"/>
          </w:divBdr>
        </w:div>
        <w:div w:id="131598182">
          <w:marLeft w:val="0"/>
          <w:marRight w:val="0"/>
          <w:marTop w:val="0"/>
          <w:marBottom w:val="0"/>
          <w:divBdr>
            <w:top w:val="none" w:sz="0" w:space="0" w:color="auto"/>
            <w:left w:val="none" w:sz="0" w:space="0" w:color="auto"/>
            <w:bottom w:val="none" w:sz="0" w:space="0" w:color="auto"/>
            <w:right w:val="none" w:sz="0" w:space="0" w:color="auto"/>
          </w:divBdr>
        </w:div>
        <w:div w:id="1414165722">
          <w:marLeft w:val="0"/>
          <w:marRight w:val="0"/>
          <w:marTop w:val="0"/>
          <w:marBottom w:val="0"/>
          <w:divBdr>
            <w:top w:val="none" w:sz="0" w:space="0" w:color="auto"/>
            <w:left w:val="none" w:sz="0" w:space="0" w:color="auto"/>
            <w:bottom w:val="none" w:sz="0" w:space="0" w:color="auto"/>
            <w:right w:val="none" w:sz="0" w:space="0" w:color="auto"/>
          </w:divBdr>
        </w:div>
        <w:div w:id="1227380479">
          <w:marLeft w:val="0"/>
          <w:marRight w:val="0"/>
          <w:marTop w:val="0"/>
          <w:marBottom w:val="0"/>
          <w:divBdr>
            <w:top w:val="none" w:sz="0" w:space="0" w:color="auto"/>
            <w:left w:val="none" w:sz="0" w:space="0" w:color="auto"/>
            <w:bottom w:val="none" w:sz="0" w:space="0" w:color="auto"/>
            <w:right w:val="none" w:sz="0" w:space="0" w:color="auto"/>
          </w:divBdr>
        </w:div>
        <w:div w:id="849491155">
          <w:marLeft w:val="0"/>
          <w:marRight w:val="0"/>
          <w:marTop w:val="0"/>
          <w:marBottom w:val="0"/>
          <w:divBdr>
            <w:top w:val="none" w:sz="0" w:space="0" w:color="auto"/>
            <w:left w:val="none" w:sz="0" w:space="0" w:color="auto"/>
            <w:bottom w:val="none" w:sz="0" w:space="0" w:color="auto"/>
            <w:right w:val="none" w:sz="0" w:space="0" w:color="auto"/>
          </w:divBdr>
        </w:div>
        <w:div w:id="1609236984">
          <w:marLeft w:val="0"/>
          <w:marRight w:val="0"/>
          <w:marTop w:val="0"/>
          <w:marBottom w:val="0"/>
          <w:divBdr>
            <w:top w:val="none" w:sz="0" w:space="0" w:color="auto"/>
            <w:left w:val="none" w:sz="0" w:space="0" w:color="auto"/>
            <w:bottom w:val="none" w:sz="0" w:space="0" w:color="auto"/>
            <w:right w:val="none" w:sz="0" w:space="0" w:color="auto"/>
          </w:divBdr>
        </w:div>
        <w:div w:id="1537549725">
          <w:marLeft w:val="0"/>
          <w:marRight w:val="0"/>
          <w:marTop w:val="0"/>
          <w:marBottom w:val="0"/>
          <w:divBdr>
            <w:top w:val="none" w:sz="0" w:space="0" w:color="auto"/>
            <w:left w:val="none" w:sz="0" w:space="0" w:color="auto"/>
            <w:bottom w:val="none" w:sz="0" w:space="0" w:color="auto"/>
            <w:right w:val="none" w:sz="0" w:space="0" w:color="auto"/>
          </w:divBdr>
        </w:div>
        <w:div w:id="618220610">
          <w:marLeft w:val="0"/>
          <w:marRight w:val="0"/>
          <w:marTop w:val="0"/>
          <w:marBottom w:val="0"/>
          <w:divBdr>
            <w:top w:val="none" w:sz="0" w:space="0" w:color="auto"/>
            <w:left w:val="none" w:sz="0" w:space="0" w:color="auto"/>
            <w:bottom w:val="none" w:sz="0" w:space="0" w:color="auto"/>
            <w:right w:val="none" w:sz="0" w:space="0" w:color="auto"/>
          </w:divBdr>
        </w:div>
        <w:div w:id="698554424">
          <w:marLeft w:val="0"/>
          <w:marRight w:val="0"/>
          <w:marTop w:val="0"/>
          <w:marBottom w:val="0"/>
          <w:divBdr>
            <w:top w:val="none" w:sz="0" w:space="0" w:color="auto"/>
            <w:left w:val="none" w:sz="0" w:space="0" w:color="auto"/>
            <w:bottom w:val="none" w:sz="0" w:space="0" w:color="auto"/>
            <w:right w:val="none" w:sz="0" w:space="0" w:color="auto"/>
          </w:divBdr>
        </w:div>
      </w:divsChild>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77545810">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2E21B04E-6B60-439A-BDEF-AA72142A5B32}"/>
</file>

<file path=docProps/app.xml><?xml version="1.0" encoding="utf-8"?>
<Properties xmlns="http://schemas.openxmlformats.org/officeDocument/2006/extended-properties" xmlns:vt="http://schemas.openxmlformats.org/officeDocument/2006/docPropsVTypes">
  <Template>Normal.dotm</Template>
  <TotalTime>5</TotalTime>
  <Pages>6</Pages>
  <Words>1625</Words>
  <Characters>9932</Characters>
  <Application>Microsoft Office Word</Application>
  <DocSecurity>0</DocSecurity>
  <Lines>183</Lines>
  <Paragraphs>135</Paragraphs>
  <ScaleCrop>false</ScaleCrop>
  <HeadingPairs>
    <vt:vector size="2" baseType="variant">
      <vt:variant>
        <vt:lpstr>Title</vt:lpstr>
      </vt:variant>
      <vt:variant>
        <vt:i4>1</vt:i4>
      </vt:variant>
    </vt:vector>
  </HeadingPairs>
  <TitlesOfParts>
    <vt:vector size="1" baseType="lpstr">
      <vt:lpstr>Lupron Depot Endometriosis-Fibroid SGM 1970-A, 6049-A</vt:lpstr>
    </vt:vector>
  </TitlesOfParts>
  <Company>CVS Caremark</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Lupron Depot Endometriosis-Fibroid SGM 1970-A, 6049-A</dc:title>
  <dc:subject>Lupron Depot Endometriosis-Fibroid SGM 1970-A, 6049-A</dc:subject>
  <dc:creator>CVS Caremark</dc:creator>
  <cp:keywords/>
  <cp:lastModifiedBy>Reynoso, Victor H</cp:lastModifiedBy>
  <cp:revision>4</cp:revision>
  <cp:lastPrinted>2018-01-09T05:01:00Z</cp:lastPrinted>
  <dcterms:created xsi:type="dcterms:W3CDTF">2025-06-04T14:22:00Z</dcterms:created>
  <dcterms:modified xsi:type="dcterms:W3CDTF">2025-06-04T14:30:00Z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92400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